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573BE" w14:textId="77777777" w:rsidR="00DB40F7" w:rsidRDefault="00DB40F7" w:rsidP="00DB40F7">
      <w:pPr>
        <w:jc w:val="center"/>
        <w:rPr>
          <w:b/>
          <w:sz w:val="24"/>
          <w:szCs w:val="24"/>
          <w:u w:val="single"/>
        </w:rPr>
      </w:pPr>
    </w:p>
    <w:p w14:paraId="2FD61AEA" w14:textId="77777777" w:rsidR="00DB40F7" w:rsidRDefault="00DB40F7" w:rsidP="00DB40F7">
      <w:pPr>
        <w:jc w:val="center"/>
        <w:rPr>
          <w:b/>
          <w:sz w:val="28"/>
          <w:szCs w:val="24"/>
        </w:rPr>
      </w:pPr>
    </w:p>
    <w:p w14:paraId="43D34326" w14:textId="77777777" w:rsidR="00DB40F7" w:rsidRDefault="00DB40F7" w:rsidP="00DB40F7">
      <w:pPr>
        <w:jc w:val="center"/>
        <w:rPr>
          <w:b/>
          <w:sz w:val="28"/>
          <w:szCs w:val="24"/>
        </w:rPr>
      </w:pPr>
      <w:r>
        <w:rPr>
          <w:b/>
          <w:noProof/>
          <w:sz w:val="28"/>
          <w:szCs w:val="24"/>
        </w:rPr>
        <w:drawing>
          <wp:anchor distT="0" distB="0" distL="114300" distR="114300" simplePos="0" relativeHeight="251659264" behindDoc="0" locked="0" layoutInCell="1" allowOverlap="1" wp14:anchorId="4934D5D4" wp14:editId="0AFBF06C">
            <wp:simplePos x="0" y="0"/>
            <wp:positionH relativeFrom="margin">
              <wp:align>center</wp:align>
            </wp:positionH>
            <wp:positionV relativeFrom="paragraph">
              <wp:posOffset>272163</wp:posOffset>
            </wp:positionV>
            <wp:extent cx="2985770" cy="2115820"/>
            <wp:effectExtent l="0" t="0" r="5080" b="0"/>
            <wp:wrapSquare wrapText="bothSides"/>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rotWithShape="1">
                    <a:blip r:embed="rId11" cstate="print">
                      <a:extLst>
                        <a:ext uri="{28A0092B-C50C-407E-A947-70E740481C1C}">
                          <a14:useLocalDpi xmlns:a14="http://schemas.microsoft.com/office/drawing/2010/main" val="0"/>
                        </a:ext>
                      </a:extLst>
                    </a:blip>
                    <a:srcRect t="15392" b="13713"/>
                    <a:stretch/>
                  </pic:blipFill>
                  <pic:spPr bwMode="auto">
                    <a:xfrm>
                      <a:off x="0" y="0"/>
                      <a:ext cx="2985770" cy="21158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AC3CEDE" w14:textId="77777777" w:rsidR="00DB40F7" w:rsidRDefault="00DB40F7" w:rsidP="00DB40F7">
      <w:pPr>
        <w:jc w:val="center"/>
        <w:rPr>
          <w:b/>
          <w:sz w:val="28"/>
          <w:szCs w:val="24"/>
        </w:rPr>
      </w:pPr>
    </w:p>
    <w:p w14:paraId="64E3C7C1" w14:textId="77777777" w:rsidR="00DB40F7" w:rsidRDefault="00DB40F7" w:rsidP="00DB40F7">
      <w:pPr>
        <w:jc w:val="center"/>
        <w:rPr>
          <w:b/>
          <w:sz w:val="28"/>
          <w:szCs w:val="24"/>
        </w:rPr>
      </w:pPr>
    </w:p>
    <w:tbl>
      <w:tblPr>
        <w:tblpPr w:leftFromText="187" w:rightFromText="187" w:vertAnchor="page" w:horzAnchor="page" w:tblpXSpec="center" w:tblpYSpec="center"/>
        <w:tblW w:w="5000" w:type="pct"/>
        <w:tblCellMar>
          <w:top w:w="216" w:type="dxa"/>
          <w:left w:w="216" w:type="dxa"/>
          <w:bottom w:w="216" w:type="dxa"/>
          <w:right w:w="216" w:type="dxa"/>
        </w:tblCellMar>
        <w:tblLook w:val="04A0" w:firstRow="1" w:lastRow="0" w:firstColumn="1" w:lastColumn="0" w:noHBand="0" w:noVBand="1"/>
      </w:tblPr>
      <w:tblGrid>
        <w:gridCol w:w="4195"/>
        <w:gridCol w:w="2278"/>
        <w:gridCol w:w="2553"/>
      </w:tblGrid>
      <w:tr w:rsidR="00936DFE" w14:paraId="56485C3E" w14:textId="77777777" w:rsidTr="00537076">
        <w:tc>
          <w:tcPr>
            <w:tcW w:w="4536" w:type="dxa"/>
            <w:tcBorders>
              <w:bottom w:val="single" w:sz="18" w:space="0" w:color="808080"/>
              <w:right w:val="single" w:sz="18" w:space="0" w:color="808080"/>
            </w:tcBorders>
            <w:vAlign w:val="center"/>
          </w:tcPr>
          <w:p w14:paraId="11731E4B" w14:textId="083DCA38" w:rsidR="00DB40F7" w:rsidRPr="00FB1864" w:rsidRDefault="00DB40F7" w:rsidP="00537076">
            <w:pPr>
              <w:pStyle w:val="NoSpacing"/>
              <w:spacing w:line="276" w:lineRule="auto"/>
              <w:rPr>
                <w:rFonts w:eastAsia="Times New Roman"/>
                <w:sz w:val="24"/>
                <w:szCs w:val="24"/>
              </w:rPr>
            </w:pPr>
            <w:r w:rsidRPr="00FB1864">
              <w:rPr>
                <w:rFonts w:eastAsia="Times New Roman"/>
                <w:sz w:val="24"/>
                <w:szCs w:val="24"/>
              </w:rPr>
              <w:t>Reference: FCMS/P</w:t>
            </w:r>
            <w:r>
              <w:rPr>
                <w:rFonts w:eastAsia="Times New Roman"/>
                <w:sz w:val="24"/>
                <w:szCs w:val="24"/>
              </w:rPr>
              <w:t>OL/</w:t>
            </w:r>
            <w:r w:rsidR="00EA2A1F">
              <w:rPr>
                <w:rFonts w:eastAsia="Times New Roman"/>
                <w:sz w:val="24"/>
                <w:szCs w:val="24"/>
              </w:rPr>
              <w:t>105</w:t>
            </w:r>
          </w:p>
          <w:p w14:paraId="085DDB4C" w14:textId="18DED400" w:rsidR="00DB40F7" w:rsidRPr="00FB1864" w:rsidRDefault="00DB40F7" w:rsidP="00537076">
            <w:pPr>
              <w:pStyle w:val="NoSpacing"/>
              <w:spacing w:line="276" w:lineRule="auto"/>
              <w:rPr>
                <w:rFonts w:eastAsia="Times New Roman"/>
                <w:sz w:val="24"/>
                <w:szCs w:val="24"/>
              </w:rPr>
            </w:pPr>
            <w:r w:rsidRPr="00FB1864">
              <w:rPr>
                <w:rFonts w:eastAsia="Times New Roman"/>
                <w:sz w:val="24"/>
                <w:szCs w:val="24"/>
              </w:rPr>
              <w:t>Author:</w:t>
            </w:r>
            <w:r>
              <w:rPr>
                <w:rFonts w:eastAsia="Times New Roman"/>
                <w:sz w:val="24"/>
                <w:szCs w:val="24"/>
              </w:rPr>
              <w:t xml:space="preserve"> Head of </w:t>
            </w:r>
            <w:r w:rsidR="00936DFE">
              <w:rPr>
                <w:rFonts w:eastAsia="Times New Roman"/>
                <w:sz w:val="24"/>
                <w:szCs w:val="24"/>
              </w:rPr>
              <w:t>Clinical Governance</w:t>
            </w:r>
          </w:p>
          <w:p w14:paraId="13B2A0FE" w14:textId="77777777" w:rsidR="00DB40F7" w:rsidRPr="00FB1864" w:rsidRDefault="00DB40F7" w:rsidP="00537076">
            <w:pPr>
              <w:pStyle w:val="NoSpacing"/>
              <w:spacing w:line="276" w:lineRule="auto"/>
              <w:rPr>
                <w:rFonts w:eastAsia="Times New Roman"/>
                <w:sz w:val="24"/>
                <w:szCs w:val="24"/>
              </w:rPr>
            </w:pPr>
            <w:r w:rsidRPr="00FB1864">
              <w:rPr>
                <w:rFonts w:eastAsia="Times New Roman"/>
                <w:sz w:val="24"/>
                <w:szCs w:val="24"/>
              </w:rPr>
              <w:t xml:space="preserve">Validation Date: </w:t>
            </w:r>
            <w:r>
              <w:rPr>
                <w:rFonts w:eastAsia="Times New Roman"/>
                <w:sz w:val="24"/>
                <w:szCs w:val="24"/>
              </w:rPr>
              <w:t xml:space="preserve"> 31/07/2025</w:t>
            </w:r>
          </w:p>
          <w:p w14:paraId="46D6F475" w14:textId="77777777" w:rsidR="00DB40F7" w:rsidRPr="00FB1864" w:rsidRDefault="00DB40F7" w:rsidP="00537076">
            <w:pPr>
              <w:pStyle w:val="NoSpacing"/>
              <w:spacing w:line="276" w:lineRule="auto"/>
              <w:rPr>
                <w:rFonts w:eastAsia="Times New Roman"/>
                <w:sz w:val="24"/>
                <w:szCs w:val="72"/>
              </w:rPr>
            </w:pPr>
            <w:r w:rsidRPr="00FB1864">
              <w:rPr>
                <w:rFonts w:eastAsia="Times New Roman"/>
                <w:sz w:val="24"/>
                <w:szCs w:val="24"/>
              </w:rPr>
              <w:t xml:space="preserve">Review Date: </w:t>
            </w:r>
            <w:r>
              <w:rPr>
                <w:rFonts w:eastAsia="Times New Roman"/>
                <w:sz w:val="24"/>
                <w:szCs w:val="24"/>
              </w:rPr>
              <w:t>31/07/2028</w:t>
            </w:r>
          </w:p>
        </w:tc>
        <w:tc>
          <w:tcPr>
            <w:tcW w:w="5102" w:type="dxa"/>
            <w:gridSpan w:val="2"/>
            <w:tcBorders>
              <w:left w:val="single" w:sz="18" w:space="0" w:color="808080"/>
              <w:bottom w:val="single" w:sz="18" w:space="0" w:color="808080"/>
            </w:tcBorders>
            <w:vAlign w:val="center"/>
          </w:tcPr>
          <w:p w14:paraId="3F6D1195" w14:textId="4F04A35D" w:rsidR="00DB40F7" w:rsidRPr="001E399F" w:rsidRDefault="00936DFE" w:rsidP="00537076">
            <w:pPr>
              <w:pStyle w:val="NoSpacing"/>
              <w:rPr>
                <w:color w:val="548DD4"/>
                <w:sz w:val="56"/>
                <w:szCs w:val="56"/>
                <w:lang w:val="en-US"/>
              </w:rPr>
            </w:pPr>
            <w:r>
              <w:rPr>
                <w:color w:val="548DD4"/>
                <w:sz w:val="56"/>
                <w:szCs w:val="56"/>
                <w:lang w:val="en-US"/>
              </w:rPr>
              <w:t>Policy for the Patient Safety Incident Response Framework (PSIRF)</w:t>
            </w:r>
          </w:p>
        </w:tc>
      </w:tr>
      <w:tr w:rsidR="00DB7A4E" w14:paraId="5F2215E4" w14:textId="77777777" w:rsidTr="00537076">
        <w:tc>
          <w:tcPr>
            <w:tcW w:w="6939" w:type="dxa"/>
            <w:gridSpan w:val="2"/>
            <w:tcBorders>
              <w:top w:val="single" w:sz="18" w:space="0" w:color="808080"/>
            </w:tcBorders>
            <w:vAlign w:val="center"/>
          </w:tcPr>
          <w:p w14:paraId="31078B91" w14:textId="77777777" w:rsidR="00DB40F7" w:rsidRPr="00A678C3" w:rsidRDefault="00DB40F7" w:rsidP="00537076">
            <w:pPr>
              <w:pStyle w:val="NoSpacing"/>
            </w:pPr>
          </w:p>
        </w:tc>
        <w:tc>
          <w:tcPr>
            <w:tcW w:w="2699" w:type="dxa"/>
            <w:tcBorders>
              <w:top w:val="single" w:sz="18" w:space="0" w:color="808080"/>
            </w:tcBorders>
            <w:vAlign w:val="center"/>
          </w:tcPr>
          <w:p w14:paraId="098219BD" w14:textId="77777777" w:rsidR="00DB40F7" w:rsidRPr="00A678C3" w:rsidRDefault="00DB40F7" w:rsidP="00537076">
            <w:pPr>
              <w:pStyle w:val="NoSpacing"/>
              <w:rPr>
                <w:rFonts w:eastAsia="Times New Roman"/>
                <w:sz w:val="36"/>
                <w:szCs w:val="36"/>
              </w:rPr>
            </w:pPr>
          </w:p>
        </w:tc>
      </w:tr>
    </w:tbl>
    <w:p w14:paraId="39AEA871" w14:textId="77777777" w:rsidR="00DB40F7" w:rsidRDefault="00DB40F7" w:rsidP="00DB40F7">
      <w:pPr>
        <w:rPr>
          <w:b/>
          <w:sz w:val="28"/>
          <w:szCs w:val="24"/>
        </w:rPr>
      </w:pPr>
    </w:p>
    <w:p w14:paraId="7C80BE01" w14:textId="77777777" w:rsidR="00DB40F7" w:rsidRDefault="00DB40F7" w:rsidP="00DB40F7">
      <w:pPr>
        <w:jc w:val="center"/>
        <w:rPr>
          <w:b/>
          <w:sz w:val="28"/>
          <w:szCs w:val="24"/>
        </w:rPr>
      </w:pPr>
    </w:p>
    <w:p w14:paraId="72062D16" w14:textId="77777777" w:rsidR="00DB40F7" w:rsidRDefault="00DB40F7" w:rsidP="00DB40F7">
      <w:pPr>
        <w:jc w:val="center"/>
        <w:rPr>
          <w:b/>
          <w:sz w:val="28"/>
          <w:szCs w:val="24"/>
        </w:rPr>
      </w:pPr>
    </w:p>
    <w:p w14:paraId="71FCA797" w14:textId="77777777" w:rsidR="00DB40F7" w:rsidRDefault="00DB40F7" w:rsidP="00DB40F7">
      <w:pPr>
        <w:jc w:val="center"/>
        <w:rPr>
          <w:b/>
          <w:sz w:val="28"/>
          <w:szCs w:val="24"/>
        </w:rPr>
      </w:pPr>
    </w:p>
    <w:p w14:paraId="04B63CC7" w14:textId="77777777" w:rsidR="00DB40F7" w:rsidRDefault="00DB40F7" w:rsidP="00DB40F7">
      <w:pPr>
        <w:jc w:val="center"/>
        <w:rPr>
          <w:b/>
          <w:sz w:val="28"/>
          <w:szCs w:val="24"/>
        </w:rPr>
      </w:pPr>
    </w:p>
    <w:p w14:paraId="5E464794" w14:textId="77777777" w:rsidR="00DB40F7" w:rsidRDefault="00DB40F7" w:rsidP="00DB40F7">
      <w:pPr>
        <w:jc w:val="center"/>
        <w:rPr>
          <w:b/>
          <w:sz w:val="28"/>
          <w:szCs w:val="24"/>
        </w:rPr>
      </w:pPr>
    </w:p>
    <w:p w14:paraId="3F2EDC9C" w14:textId="439577E5" w:rsidR="00DB40F7" w:rsidRDefault="005F74EF" w:rsidP="005F74EF">
      <w:pPr>
        <w:spacing w:after="360"/>
        <w:ind w:right="119"/>
        <w:rPr>
          <w:b/>
          <w:bCs/>
          <w:sz w:val="24"/>
          <w:szCs w:val="24"/>
          <w:u w:val="single"/>
        </w:rPr>
      </w:pPr>
      <w:r>
        <w:rPr>
          <w:rFonts w:cs="Arial"/>
          <w:bCs/>
          <w:color w:val="005EB8"/>
          <w:sz w:val="44"/>
          <w:szCs w:val="44"/>
        </w:rPr>
        <w:br/>
      </w:r>
      <w:r w:rsidRPr="005F74EF">
        <w:rPr>
          <w:b/>
          <w:bCs/>
          <w:sz w:val="24"/>
          <w:szCs w:val="24"/>
        </w:rPr>
        <w:tab/>
      </w:r>
      <w:r>
        <w:rPr>
          <w:b/>
          <w:bCs/>
          <w:sz w:val="24"/>
          <w:szCs w:val="24"/>
          <w:u w:val="single"/>
        </w:rPr>
        <w:br/>
      </w:r>
    </w:p>
    <w:p w14:paraId="2DC65C2A" w14:textId="77777777" w:rsidR="00DB40F7" w:rsidRDefault="00DB40F7">
      <w:pPr>
        <w:rPr>
          <w:b/>
          <w:bCs/>
          <w:sz w:val="24"/>
          <w:szCs w:val="24"/>
          <w:u w:val="single"/>
        </w:rPr>
      </w:pPr>
      <w:r>
        <w:rPr>
          <w:b/>
          <w:bCs/>
          <w:sz w:val="24"/>
          <w:szCs w:val="24"/>
          <w:u w:val="single"/>
        </w:rPr>
        <w:br w:type="page"/>
      </w:r>
    </w:p>
    <w:p w14:paraId="7AF28E9C" w14:textId="03D216EE" w:rsidR="005F74EF" w:rsidRPr="005F74EF" w:rsidRDefault="005F74EF" w:rsidP="005F74EF">
      <w:pPr>
        <w:spacing w:after="360"/>
        <w:ind w:right="119"/>
        <w:rPr>
          <w:rFonts w:cs="Arial"/>
          <w:bCs/>
          <w:color w:val="005EB8"/>
          <w:sz w:val="24"/>
          <w:szCs w:val="24"/>
        </w:rPr>
      </w:pPr>
      <w:r w:rsidRPr="005F74EF">
        <w:rPr>
          <w:b/>
          <w:bCs/>
          <w:sz w:val="24"/>
          <w:szCs w:val="24"/>
          <w:u w:val="single"/>
        </w:rPr>
        <w:lastRenderedPageBreak/>
        <w:t>Amendment/Version History</w:t>
      </w:r>
    </w:p>
    <w:tbl>
      <w:tblPr>
        <w:tblStyle w:val="TableGrid"/>
        <w:tblW w:w="0" w:type="auto"/>
        <w:tblLook w:val="04A0" w:firstRow="1" w:lastRow="0" w:firstColumn="1" w:lastColumn="0" w:noHBand="0" w:noVBand="1"/>
      </w:tblPr>
      <w:tblGrid>
        <w:gridCol w:w="1195"/>
        <w:gridCol w:w="1543"/>
        <w:gridCol w:w="4000"/>
        <w:gridCol w:w="2278"/>
      </w:tblGrid>
      <w:tr w:rsidR="005F74EF" w14:paraId="3835882D" w14:textId="77777777" w:rsidTr="006B72C0">
        <w:trPr>
          <w:trHeight w:val="1314"/>
        </w:trPr>
        <w:tc>
          <w:tcPr>
            <w:tcW w:w="1203" w:type="dxa"/>
          </w:tcPr>
          <w:p w14:paraId="455F96BE" w14:textId="77777777" w:rsidR="005F74EF" w:rsidRPr="00777932" w:rsidRDefault="005F74EF" w:rsidP="006B72C0">
            <w:pPr>
              <w:rPr>
                <w:rFonts w:cs="Arial"/>
                <w:b/>
                <w:bCs/>
              </w:rPr>
            </w:pPr>
            <w:r w:rsidRPr="00777932">
              <w:rPr>
                <w:rFonts w:cs="Arial"/>
                <w:b/>
                <w:bCs/>
              </w:rPr>
              <w:t>Version Number:</w:t>
            </w:r>
          </w:p>
        </w:tc>
        <w:tc>
          <w:tcPr>
            <w:tcW w:w="1627" w:type="dxa"/>
          </w:tcPr>
          <w:p w14:paraId="7F26E2B1" w14:textId="6444CC99" w:rsidR="005F74EF" w:rsidRPr="00777932" w:rsidRDefault="005F74EF" w:rsidP="006B72C0">
            <w:pPr>
              <w:rPr>
                <w:rFonts w:cs="Arial"/>
                <w:b/>
                <w:bCs/>
              </w:rPr>
            </w:pPr>
            <w:r w:rsidRPr="00777932">
              <w:rPr>
                <w:rFonts w:cs="Arial"/>
                <w:b/>
                <w:bCs/>
              </w:rPr>
              <w:t>Date:</w:t>
            </w:r>
          </w:p>
        </w:tc>
        <w:tc>
          <w:tcPr>
            <w:tcW w:w="4272" w:type="dxa"/>
          </w:tcPr>
          <w:p w14:paraId="11D3A12E" w14:textId="7E39C779" w:rsidR="005F74EF" w:rsidRPr="00777932" w:rsidRDefault="005F74EF" w:rsidP="006B72C0">
            <w:pPr>
              <w:rPr>
                <w:rFonts w:cs="Arial"/>
                <w:b/>
                <w:bCs/>
              </w:rPr>
            </w:pPr>
            <w:r w:rsidRPr="00777932">
              <w:rPr>
                <w:rFonts w:cs="Arial"/>
                <w:b/>
                <w:bCs/>
              </w:rPr>
              <w:t>Details of Change Made:</w:t>
            </w:r>
          </w:p>
        </w:tc>
        <w:tc>
          <w:tcPr>
            <w:tcW w:w="2363" w:type="dxa"/>
          </w:tcPr>
          <w:p w14:paraId="7EDB255E" w14:textId="05EAFC0F" w:rsidR="005F74EF" w:rsidRPr="00777932" w:rsidRDefault="005F74EF" w:rsidP="006B72C0">
            <w:pPr>
              <w:rPr>
                <w:rFonts w:cs="Arial"/>
                <w:b/>
                <w:bCs/>
              </w:rPr>
            </w:pPr>
            <w:r w:rsidRPr="00777932">
              <w:rPr>
                <w:rFonts w:cs="Arial"/>
                <w:b/>
                <w:bCs/>
              </w:rPr>
              <w:t>Amendment made by (name and role):</w:t>
            </w:r>
          </w:p>
        </w:tc>
      </w:tr>
      <w:tr w:rsidR="005F74EF" w14:paraId="15B29DB0" w14:textId="77777777" w:rsidTr="006B72C0">
        <w:trPr>
          <w:trHeight w:val="256"/>
        </w:trPr>
        <w:tc>
          <w:tcPr>
            <w:tcW w:w="1203" w:type="dxa"/>
          </w:tcPr>
          <w:p w14:paraId="78B5F817" w14:textId="70DC8420" w:rsidR="005F74EF" w:rsidRPr="00777932" w:rsidRDefault="005F74EF" w:rsidP="006B72C0">
            <w:pPr>
              <w:rPr>
                <w:rFonts w:cs="Arial"/>
              </w:rPr>
            </w:pPr>
            <w:r w:rsidRPr="00777932">
              <w:rPr>
                <w:rFonts w:cs="Arial"/>
              </w:rPr>
              <w:t>1</w:t>
            </w:r>
          </w:p>
        </w:tc>
        <w:tc>
          <w:tcPr>
            <w:tcW w:w="1627" w:type="dxa"/>
          </w:tcPr>
          <w:p w14:paraId="77FB9113" w14:textId="601897F4" w:rsidR="005F74EF" w:rsidRPr="00777932" w:rsidRDefault="005F74EF" w:rsidP="006B72C0">
            <w:pPr>
              <w:rPr>
                <w:rFonts w:cs="Arial"/>
              </w:rPr>
            </w:pPr>
            <w:r w:rsidRPr="00777932">
              <w:rPr>
                <w:rFonts w:cs="Arial"/>
              </w:rPr>
              <w:t>Nov 23</w:t>
            </w:r>
          </w:p>
        </w:tc>
        <w:tc>
          <w:tcPr>
            <w:tcW w:w="4272" w:type="dxa"/>
          </w:tcPr>
          <w:p w14:paraId="08F97686" w14:textId="281E1563" w:rsidR="005F74EF" w:rsidRPr="00777932" w:rsidRDefault="005F74EF" w:rsidP="006B72C0">
            <w:pPr>
              <w:rPr>
                <w:rFonts w:cs="Arial"/>
              </w:rPr>
            </w:pPr>
            <w:r w:rsidRPr="00777932">
              <w:rPr>
                <w:rFonts w:cs="Arial"/>
              </w:rPr>
              <w:t>New Policy</w:t>
            </w:r>
          </w:p>
        </w:tc>
        <w:tc>
          <w:tcPr>
            <w:tcW w:w="2363" w:type="dxa"/>
          </w:tcPr>
          <w:p w14:paraId="6544A674" w14:textId="12B0D8D2" w:rsidR="005F74EF" w:rsidRPr="00777932" w:rsidRDefault="005F74EF" w:rsidP="006B72C0">
            <w:pPr>
              <w:rPr>
                <w:rFonts w:cs="Arial"/>
              </w:rPr>
            </w:pPr>
            <w:r w:rsidRPr="00777932">
              <w:rPr>
                <w:rFonts w:cs="Arial"/>
              </w:rPr>
              <w:t>Carrie Cobb</w:t>
            </w:r>
          </w:p>
        </w:tc>
      </w:tr>
      <w:tr w:rsidR="005F74EF" w14:paraId="77CAA9F0" w14:textId="77777777" w:rsidTr="006B72C0">
        <w:trPr>
          <w:trHeight w:val="256"/>
        </w:trPr>
        <w:tc>
          <w:tcPr>
            <w:tcW w:w="1203" w:type="dxa"/>
          </w:tcPr>
          <w:p w14:paraId="005831D9" w14:textId="56C5AE85" w:rsidR="005F74EF" w:rsidRPr="00777932" w:rsidRDefault="005F74EF" w:rsidP="006B72C0">
            <w:pPr>
              <w:rPr>
                <w:rFonts w:cs="Arial"/>
              </w:rPr>
            </w:pPr>
            <w:r w:rsidRPr="00777932">
              <w:rPr>
                <w:rFonts w:cs="Arial"/>
              </w:rPr>
              <w:t>2</w:t>
            </w:r>
          </w:p>
        </w:tc>
        <w:tc>
          <w:tcPr>
            <w:tcW w:w="1627" w:type="dxa"/>
          </w:tcPr>
          <w:p w14:paraId="527CFB31" w14:textId="066C3CF6" w:rsidR="005F74EF" w:rsidRPr="00777932" w:rsidRDefault="005F74EF" w:rsidP="006B72C0">
            <w:pPr>
              <w:rPr>
                <w:rFonts w:cs="Arial"/>
              </w:rPr>
            </w:pPr>
            <w:r w:rsidRPr="00777932">
              <w:rPr>
                <w:rFonts w:cs="Arial"/>
              </w:rPr>
              <w:t>Nov 24</w:t>
            </w:r>
          </w:p>
        </w:tc>
        <w:tc>
          <w:tcPr>
            <w:tcW w:w="4272" w:type="dxa"/>
          </w:tcPr>
          <w:p w14:paraId="1FBD6AD5" w14:textId="04CBFF3F" w:rsidR="005F74EF" w:rsidRPr="00777932" w:rsidRDefault="005F74EF" w:rsidP="006B72C0">
            <w:pPr>
              <w:rPr>
                <w:rFonts w:cs="Arial"/>
              </w:rPr>
            </w:pPr>
            <w:r w:rsidRPr="00777932">
              <w:rPr>
                <w:rFonts w:cs="Arial"/>
              </w:rPr>
              <w:t>Review and Amendment following ICB engagement</w:t>
            </w:r>
          </w:p>
        </w:tc>
        <w:tc>
          <w:tcPr>
            <w:tcW w:w="2363" w:type="dxa"/>
          </w:tcPr>
          <w:p w14:paraId="40B8420C" w14:textId="75697F55" w:rsidR="005F74EF" w:rsidRPr="00777932" w:rsidRDefault="005F74EF" w:rsidP="006B72C0">
            <w:pPr>
              <w:rPr>
                <w:rFonts w:cs="Arial"/>
              </w:rPr>
            </w:pPr>
            <w:r w:rsidRPr="00777932">
              <w:rPr>
                <w:rFonts w:cs="Arial"/>
              </w:rPr>
              <w:t>Emily Taylor, Head of Clinical Governance</w:t>
            </w:r>
          </w:p>
        </w:tc>
      </w:tr>
      <w:tr w:rsidR="00DA1211" w14:paraId="7282A7BA" w14:textId="77777777" w:rsidTr="006B72C0">
        <w:trPr>
          <w:trHeight w:val="256"/>
        </w:trPr>
        <w:tc>
          <w:tcPr>
            <w:tcW w:w="1203" w:type="dxa"/>
          </w:tcPr>
          <w:p w14:paraId="2893A976" w14:textId="19698B00" w:rsidR="00DA1211" w:rsidRPr="00777932" w:rsidRDefault="00DA1211" w:rsidP="00DA1211">
            <w:pPr>
              <w:rPr>
                <w:rFonts w:cs="Arial"/>
              </w:rPr>
            </w:pPr>
            <w:r>
              <w:rPr>
                <w:rFonts w:cs="Arial"/>
              </w:rPr>
              <w:t>3</w:t>
            </w:r>
          </w:p>
        </w:tc>
        <w:tc>
          <w:tcPr>
            <w:tcW w:w="1627" w:type="dxa"/>
          </w:tcPr>
          <w:p w14:paraId="43D8D5E1" w14:textId="76EBEA64" w:rsidR="00DA1211" w:rsidRPr="00777932" w:rsidRDefault="00DA1211" w:rsidP="00DA1211">
            <w:pPr>
              <w:rPr>
                <w:rFonts w:cs="Arial"/>
              </w:rPr>
            </w:pPr>
            <w:r>
              <w:rPr>
                <w:rFonts w:cs="Arial"/>
              </w:rPr>
              <w:t>July 25</w:t>
            </w:r>
          </w:p>
        </w:tc>
        <w:tc>
          <w:tcPr>
            <w:tcW w:w="4272" w:type="dxa"/>
          </w:tcPr>
          <w:p w14:paraId="7091F38C" w14:textId="53424073" w:rsidR="00DA1211" w:rsidRPr="00777932" w:rsidRDefault="00DA1211" w:rsidP="00DA1211">
            <w:pPr>
              <w:rPr>
                <w:rFonts w:cs="Arial"/>
              </w:rPr>
            </w:pPr>
            <w:r>
              <w:rPr>
                <w:rFonts w:cs="Arial"/>
              </w:rPr>
              <w:t>Final amendments following trials of learning response methods prior to formal ratification</w:t>
            </w:r>
          </w:p>
        </w:tc>
        <w:tc>
          <w:tcPr>
            <w:tcW w:w="2363" w:type="dxa"/>
          </w:tcPr>
          <w:p w14:paraId="2A3947C2" w14:textId="09305994" w:rsidR="00DA1211" w:rsidRPr="00777932" w:rsidRDefault="00DA1211" w:rsidP="00DA1211">
            <w:pPr>
              <w:rPr>
                <w:rFonts w:cs="Arial"/>
              </w:rPr>
            </w:pPr>
            <w:r w:rsidRPr="00777932">
              <w:rPr>
                <w:rFonts w:cs="Arial"/>
              </w:rPr>
              <w:t>Emily Taylor, Head of Clinical Governance</w:t>
            </w:r>
          </w:p>
        </w:tc>
      </w:tr>
    </w:tbl>
    <w:p w14:paraId="3E0885BA" w14:textId="77777777" w:rsidR="00CB1F58" w:rsidRDefault="00CB1F58" w:rsidP="00CB1F58">
      <w:pPr>
        <w:rPr>
          <w:rFonts w:cs="Arial"/>
          <w:sz w:val="24"/>
          <w:szCs w:val="24"/>
        </w:rPr>
      </w:pPr>
    </w:p>
    <w:p w14:paraId="0422C802" w14:textId="7BFF1610" w:rsidR="005F74EF" w:rsidRPr="005F74EF" w:rsidRDefault="005F74EF" w:rsidP="00CB1F58">
      <w:pPr>
        <w:rPr>
          <w:rFonts w:cs="Arial"/>
          <w:b/>
          <w:bCs/>
          <w:sz w:val="24"/>
          <w:szCs w:val="24"/>
          <w:u w:val="single"/>
        </w:rPr>
      </w:pPr>
      <w:r w:rsidRPr="005F74EF">
        <w:rPr>
          <w:rFonts w:cs="Arial"/>
          <w:b/>
          <w:bCs/>
          <w:sz w:val="24"/>
          <w:szCs w:val="24"/>
          <w:u w:val="single"/>
        </w:rPr>
        <w:t>Consultation and Ratification</w:t>
      </w:r>
    </w:p>
    <w:tbl>
      <w:tblPr>
        <w:tblStyle w:val="TableGrid"/>
        <w:tblW w:w="0" w:type="auto"/>
        <w:tblLook w:val="04A0" w:firstRow="1" w:lastRow="0" w:firstColumn="1" w:lastColumn="0" w:noHBand="0" w:noVBand="1"/>
      </w:tblPr>
      <w:tblGrid>
        <w:gridCol w:w="1195"/>
        <w:gridCol w:w="1548"/>
        <w:gridCol w:w="4003"/>
        <w:gridCol w:w="2270"/>
      </w:tblGrid>
      <w:tr w:rsidR="006D1B2D" w14:paraId="4FAB2B61" w14:textId="77777777" w:rsidTr="006D1B2D">
        <w:trPr>
          <w:trHeight w:val="1314"/>
        </w:trPr>
        <w:tc>
          <w:tcPr>
            <w:tcW w:w="1203" w:type="dxa"/>
          </w:tcPr>
          <w:p w14:paraId="3C7C8A65" w14:textId="0FC4CB43" w:rsidR="006D1B2D" w:rsidRPr="00777932" w:rsidRDefault="006D1B2D" w:rsidP="00CB1F58">
            <w:pPr>
              <w:rPr>
                <w:rFonts w:cs="Arial"/>
                <w:b/>
                <w:bCs/>
              </w:rPr>
            </w:pPr>
            <w:r w:rsidRPr="00777932">
              <w:rPr>
                <w:rFonts w:cs="Arial"/>
                <w:b/>
                <w:bCs/>
              </w:rPr>
              <w:t>Version Number:</w:t>
            </w:r>
          </w:p>
        </w:tc>
        <w:tc>
          <w:tcPr>
            <w:tcW w:w="1627" w:type="dxa"/>
          </w:tcPr>
          <w:p w14:paraId="10D6214E" w14:textId="4EBE2B33" w:rsidR="006D1B2D" w:rsidRPr="00777932" w:rsidRDefault="006D1B2D" w:rsidP="00CB1F58">
            <w:pPr>
              <w:rPr>
                <w:rFonts w:cs="Arial"/>
                <w:b/>
                <w:bCs/>
              </w:rPr>
            </w:pPr>
            <w:r w:rsidRPr="00777932">
              <w:rPr>
                <w:rFonts w:cs="Arial"/>
                <w:b/>
                <w:bCs/>
              </w:rPr>
              <w:t>Date:</w:t>
            </w:r>
          </w:p>
        </w:tc>
        <w:tc>
          <w:tcPr>
            <w:tcW w:w="4272" w:type="dxa"/>
          </w:tcPr>
          <w:p w14:paraId="01C8744C" w14:textId="592BEA13" w:rsidR="006D1B2D" w:rsidRPr="00777932" w:rsidRDefault="006D1B2D" w:rsidP="00CB1F58">
            <w:pPr>
              <w:rPr>
                <w:rFonts w:cs="Arial"/>
                <w:b/>
                <w:bCs/>
              </w:rPr>
            </w:pPr>
            <w:r w:rsidRPr="00777932">
              <w:rPr>
                <w:rFonts w:cs="Arial"/>
                <w:b/>
                <w:bCs/>
              </w:rPr>
              <w:t>Person/s and/or Groups consulted during production</w:t>
            </w:r>
            <w:r w:rsidR="005F74EF" w:rsidRPr="00777932">
              <w:rPr>
                <w:rFonts w:cs="Arial"/>
                <w:b/>
                <w:bCs/>
              </w:rPr>
              <w:t xml:space="preserve"> (name and role)</w:t>
            </w:r>
            <w:r w:rsidRPr="00777932">
              <w:rPr>
                <w:rFonts w:cs="Arial"/>
                <w:b/>
                <w:bCs/>
              </w:rPr>
              <w:t>:</w:t>
            </w:r>
          </w:p>
        </w:tc>
        <w:tc>
          <w:tcPr>
            <w:tcW w:w="2363" w:type="dxa"/>
          </w:tcPr>
          <w:p w14:paraId="02223B9D" w14:textId="3E14A693" w:rsidR="006D1B2D" w:rsidRPr="00777932" w:rsidRDefault="006D1B2D" w:rsidP="00CB1F58">
            <w:pPr>
              <w:rPr>
                <w:rFonts w:cs="Arial"/>
                <w:b/>
                <w:bCs/>
              </w:rPr>
            </w:pPr>
            <w:r w:rsidRPr="00777932">
              <w:rPr>
                <w:rFonts w:cs="Arial"/>
                <w:b/>
                <w:bCs/>
              </w:rPr>
              <w:t>Committee Ratified by:</w:t>
            </w:r>
          </w:p>
        </w:tc>
      </w:tr>
      <w:tr w:rsidR="006D1B2D" w14:paraId="43A0FF9E" w14:textId="77777777" w:rsidTr="006D1B2D">
        <w:trPr>
          <w:trHeight w:val="256"/>
        </w:trPr>
        <w:tc>
          <w:tcPr>
            <w:tcW w:w="1203" w:type="dxa"/>
          </w:tcPr>
          <w:p w14:paraId="74AC0ED0" w14:textId="04BFCAA0" w:rsidR="006D1B2D" w:rsidRPr="00777932" w:rsidRDefault="005F74EF" w:rsidP="00CB1F58">
            <w:pPr>
              <w:rPr>
                <w:rFonts w:cs="Arial"/>
              </w:rPr>
            </w:pPr>
            <w:r w:rsidRPr="00777932">
              <w:rPr>
                <w:rFonts w:cs="Arial"/>
              </w:rPr>
              <w:t>1</w:t>
            </w:r>
          </w:p>
        </w:tc>
        <w:tc>
          <w:tcPr>
            <w:tcW w:w="1627" w:type="dxa"/>
          </w:tcPr>
          <w:p w14:paraId="07C134F5" w14:textId="51383A25" w:rsidR="006D1B2D" w:rsidRPr="00777932" w:rsidRDefault="005F74EF" w:rsidP="00CB1F58">
            <w:pPr>
              <w:rPr>
                <w:rFonts w:cs="Arial"/>
              </w:rPr>
            </w:pPr>
            <w:r w:rsidRPr="00777932">
              <w:rPr>
                <w:rFonts w:cs="Arial"/>
              </w:rPr>
              <w:t>Nov 23</w:t>
            </w:r>
          </w:p>
        </w:tc>
        <w:tc>
          <w:tcPr>
            <w:tcW w:w="4272" w:type="dxa"/>
          </w:tcPr>
          <w:p w14:paraId="1A1943FE" w14:textId="20D322EB" w:rsidR="006D1B2D" w:rsidRPr="00777932" w:rsidRDefault="005F74EF" w:rsidP="00CB1F58">
            <w:pPr>
              <w:rPr>
                <w:rFonts w:cs="Arial"/>
              </w:rPr>
            </w:pPr>
            <w:r w:rsidRPr="00777932">
              <w:rPr>
                <w:rFonts w:cs="Arial"/>
              </w:rPr>
              <w:t xml:space="preserve">Suzy </w:t>
            </w:r>
            <w:r w:rsidR="00DA1211">
              <w:rPr>
                <w:rFonts w:cs="Arial"/>
              </w:rPr>
              <w:t>L</w:t>
            </w:r>
            <w:r w:rsidRPr="00777932">
              <w:rPr>
                <w:rFonts w:cs="Arial"/>
              </w:rPr>
              <w:t>ayton, CEO. Samantha Marsh, COO.</w:t>
            </w:r>
          </w:p>
        </w:tc>
        <w:tc>
          <w:tcPr>
            <w:tcW w:w="2363" w:type="dxa"/>
          </w:tcPr>
          <w:p w14:paraId="56522876" w14:textId="70F04BB5" w:rsidR="006D1B2D" w:rsidRPr="00777932" w:rsidRDefault="005F74EF" w:rsidP="00CB1F58">
            <w:pPr>
              <w:rPr>
                <w:rFonts w:cs="Arial"/>
              </w:rPr>
            </w:pPr>
            <w:r w:rsidRPr="00777932">
              <w:rPr>
                <w:rFonts w:cs="Arial"/>
              </w:rPr>
              <w:t>N/A</w:t>
            </w:r>
          </w:p>
        </w:tc>
      </w:tr>
      <w:tr w:rsidR="006D1B2D" w14:paraId="7567DC2D" w14:textId="77777777" w:rsidTr="006D1B2D">
        <w:trPr>
          <w:trHeight w:val="256"/>
        </w:trPr>
        <w:tc>
          <w:tcPr>
            <w:tcW w:w="1203" w:type="dxa"/>
          </w:tcPr>
          <w:p w14:paraId="127B1676" w14:textId="4CCD08EF" w:rsidR="006D1B2D" w:rsidRPr="00777932" w:rsidRDefault="005F74EF" w:rsidP="00CB1F58">
            <w:pPr>
              <w:rPr>
                <w:rFonts w:cs="Arial"/>
              </w:rPr>
            </w:pPr>
            <w:r w:rsidRPr="00777932">
              <w:rPr>
                <w:rFonts w:cs="Arial"/>
              </w:rPr>
              <w:t>2</w:t>
            </w:r>
          </w:p>
        </w:tc>
        <w:tc>
          <w:tcPr>
            <w:tcW w:w="1627" w:type="dxa"/>
          </w:tcPr>
          <w:p w14:paraId="171959FA" w14:textId="3D0504E6" w:rsidR="006D1B2D" w:rsidRPr="00777932" w:rsidRDefault="005F74EF" w:rsidP="00CB1F58">
            <w:pPr>
              <w:rPr>
                <w:rFonts w:cs="Arial"/>
              </w:rPr>
            </w:pPr>
            <w:r w:rsidRPr="00777932">
              <w:rPr>
                <w:rFonts w:cs="Arial"/>
              </w:rPr>
              <w:t>Nov 24</w:t>
            </w:r>
          </w:p>
        </w:tc>
        <w:tc>
          <w:tcPr>
            <w:tcW w:w="4272" w:type="dxa"/>
          </w:tcPr>
          <w:p w14:paraId="429D8CA2" w14:textId="2E785F76" w:rsidR="006D1B2D" w:rsidRPr="00777932" w:rsidRDefault="00442FEC" w:rsidP="00CB1F58">
            <w:pPr>
              <w:rPr>
                <w:rFonts w:cs="Arial"/>
              </w:rPr>
            </w:pPr>
            <w:r>
              <w:rPr>
                <w:rFonts w:cs="Arial"/>
              </w:rPr>
              <w:t>Clinical Leadership Team</w:t>
            </w:r>
          </w:p>
        </w:tc>
        <w:tc>
          <w:tcPr>
            <w:tcW w:w="2363" w:type="dxa"/>
          </w:tcPr>
          <w:p w14:paraId="31290143" w14:textId="43CC4604" w:rsidR="006D1B2D" w:rsidRPr="00777932" w:rsidRDefault="00442FEC" w:rsidP="00CB1F58">
            <w:pPr>
              <w:rPr>
                <w:rFonts w:cs="Arial"/>
              </w:rPr>
            </w:pPr>
            <w:r>
              <w:rPr>
                <w:rFonts w:cs="Arial"/>
              </w:rPr>
              <w:t>N/A</w:t>
            </w:r>
          </w:p>
        </w:tc>
      </w:tr>
      <w:tr w:rsidR="00442FEC" w14:paraId="5C798ED0" w14:textId="77777777" w:rsidTr="006D1B2D">
        <w:trPr>
          <w:trHeight w:val="256"/>
        </w:trPr>
        <w:tc>
          <w:tcPr>
            <w:tcW w:w="1203" w:type="dxa"/>
          </w:tcPr>
          <w:p w14:paraId="7FD2D361" w14:textId="3E68B6E7" w:rsidR="00442FEC" w:rsidRPr="00777932" w:rsidRDefault="00442FEC" w:rsidP="00CB1F58">
            <w:pPr>
              <w:rPr>
                <w:rFonts w:cs="Arial"/>
              </w:rPr>
            </w:pPr>
            <w:r>
              <w:rPr>
                <w:rFonts w:cs="Arial"/>
              </w:rPr>
              <w:t>3</w:t>
            </w:r>
          </w:p>
        </w:tc>
        <w:tc>
          <w:tcPr>
            <w:tcW w:w="1627" w:type="dxa"/>
          </w:tcPr>
          <w:p w14:paraId="56042A25" w14:textId="53F8824B" w:rsidR="00442FEC" w:rsidRPr="00777932" w:rsidRDefault="00CB11D1" w:rsidP="00CB1F58">
            <w:pPr>
              <w:rPr>
                <w:rFonts w:cs="Arial"/>
              </w:rPr>
            </w:pPr>
            <w:r>
              <w:rPr>
                <w:rFonts w:cs="Arial"/>
              </w:rPr>
              <w:t xml:space="preserve">31 </w:t>
            </w:r>
            <w:r w:rsidR="00442FEC">
              <w:rPr>
                <w:rFonts w:cs="Arial"/>
              </w:rPr>
              <w:t>July 25</w:t>
            </w:r>
          </w:p>
        </w:tc>
        <w:tc>
          <w:tcPr>
            <w:tcW w:w="4272" w:type="dxa"/>
          </w:tcPr>
          <w:p w14:paraId="78D1BBA8" w14:textId="1EDCFB36" w:rsidR="00442FEC" w:rsidRDefault="00CB11D1" w:rsidP="00CB1F58">
            <w:pPr>
              <w:rPr>
                <w:rFonts w:cs="Arial"/>
              </w:rPr>
            </w:pPr>
            <w:r>
              <w:rPr>
                <w:rFonts w:cs="Arial"/>
              </w:rPr>
              <w:t>Patient Safety Group, Senior Quality Review, Leadership Team.</w:t>
            </w:r>
          </w:p>
        </w:tc>
        <w:tc>
          <w:tcPr>
            <w:tcW w:w="2363" w:type="dxa"/>
          </w:tcPr>
          <w:p w14:paraId="211923A7" w14:textId="728B95C3" w:rsidR="00442FEC" w:rsidRDefault="00CB11D1" w:rsidP="00CB1F58">
            <w:pPr>
              <w:rPr>
                <w:rFonts w:cs="Arial"/>
              </w:rPr>
            </w:pPr>
            <w:r>
              <w:rPr>
                <w:rFonts w:cs="Arial"/>
              </w:rPr>
              <w:t>Patient Safety Group</w:t>
            </w:r>
            <w:r w:rsidR="00912F83">
              <w:rPr>
                <w:rFonts w:cs="Arial"/>
              </w:rPr>
              <w:t xml:space="preserve"> and Leadership Group</w:t>
            </w:r>
          </w:p>
        </w:tc>
      </w:tr>
    </w:tbl>
    <w:p w14:paraId="220C6B13" w14:textId="77777777" w:rsidR="006D1B2D" w:rsidRPr="004E63E4" w:rsidRDefault="006D1B2D" w:rsidP="00CB1F58">
      <w:pPr>
        <w:rPr>
          <w:rFonts w:cs="Arial"/>
          <w:sz w:val="24"/>
          <w:szCs w:val="24"/>
        </w:rPr>
      </w:pPr>
    </w:p>
    <w:p w14:paraId="21243ACC" w14:textId="77777777" w:rsidR="00CC640A" w:rsidRPr="004E63E4" w:rsidRDefault="00CC640A" w:rsidP="00CC640A">
      <w:pPr>
        <w:pStyle w:val="ListParagraph"/>
        <w:spacing w:after="120" w:line="360" w:lineRule="atLeast"/>
        <w:contextualSpacing w:val="0"/>
        <w:rPr>
          <w:rFonts w:cs="Arial"/>
          <w:sz w:val="24"/>
          <w:szCs w:val="24"/>
        </w:rPr>
      </w:pPr>
    </w:p>
    <w:p w14:paraId="53DE3E18" w14:textId="77777777" w:rsidR="00CC640A" w:rsidRPr="004E63E4" w:rsidRDefault="00CC640A" w:rsidP="00CC640A">
      <w:pPr>
        <w:spacing w:after="120" w:line="360" w:lineRule="atLeast"/>
        <w:rPr>
          <w:rFonts w:cs="Arial"/>
          <w:sz w:val="24"/>
          <w:szCs w:val="24"/>
        </w:rPr>
      </w:pPr>
    </w:p>
    <w:p w14:paraId="5F2FB454" w14:textId="77777777" w:rsidR="00CC640A" w:rsidRPr="004E63E4" w:rsidRDefault="00CC640A" w:rsidP="00CC640A">
      <w:pPr>
        <w:pStyle w:val="ListParagraph"/>
        <w:spacing w:after="120" w:line="360" w:lineRule="atLeast"/>
        <w:contextualSpacing w:val="0"/>
        <w:rPr>
          <w:rFonts w:cs="Arial"/>
          <w:sz w:val="24"/>
          <w:szCs w:val="24"/>
        </w:rPr>
      </w:pPr>
    </w:p>
    <w:p w14:paraId="4955CF56" w14:textId="6465284C" w:rsidR="00936DFE" w:rsidRDefault="00936DFE">
      <w:pPr>
        <w:rPr>
          <w:rFonts w:cs="Arial"/>
          <w:sz w:val="24"/>
          <w:szCs w:val="24"/>
        </w:rPr>
      </w:pPr>
      <w:r>
        <w:rPr>
          <w:rFonts w:cs="Arial"/>
          <w:sz w:val="24"/>
          <w:szCs w:val="24"/>
        </w:rPr>
        <w:br w:type="page"/>
      </w:r>
    </w:p>
    <w:p w14:paraId="17C7D290" w14:textId="77777777" w:rsidR="00CC640A" w:rsidRPr="00C56DC8" w:rsidRDefault="00CC640A" w:rsidP="00C56DC8">
      <w:pPr>
        <w:spacing w:after="120" w:line="360" w:lineRule="atLeast"/>
        <w:rPr>
          <w:rFonts w:cs="Arial"/>
          <w:sz w:val="24"/>
          <w:szCs w:val="24"/>
        </w:rPr>
      </w:pPr>
    </w:p>
    <w:sdt>
      <w:sdtPr>
        <w:rPr>
          <w:rFonts w:eastAsiaTheme="minorHAnsi" w:cs="Arial"/>
          <w:b w:val="0"/>
          <w:bCs w:val="0"/>
          <w:color w:val="auto"/>
          <w:sz w:val="24"/>
          <w:szCs w:val="24"/>
          <w:lang w:val="en-GB" w:eastAsia="en-US"/>
        </w:rPr>
        <w:id w:val="2062751647"/>
        <w:docPartObj>
          <w:docPartGallery w:val="Table of Contents"/>
          <w:docPartUnique/>
        </w:docPartObj>
      </w:sdtPr>
      <w:sdtEndPr>
        <w:rPr>
          <w:noProof/>
        </w:rPr>
      </w:sdtEndPr>
      <w:sdtContent>
        <w:p w14:paraId="4CEBA627" w14:textId="77777777" w:rsidR="000A5254" w:rsidRPr="004E63E4" w:rsidRDefault="000A5254" w:rsidP="00CB625F">
          <w:pPr>
            <w:pStyle w:val="TOCHeading"/>
            <w:spacing w:after="240"/>
            <w:rPr>
              <w:rFonts w:cs="Arial"/>
              <w:b w:val="0"/>
              <w:bCs w:val="0"/>
              <w:color w:val="0070C0"/>
              <w:sz w:val="24"/>
              <w:szCs w:val="24"/>
            </w:rPr>
          </w:pPr>
          <w:r w:rsidRPr="004E63E4">
            <w:rPr>
              <w:rFonts w:cs="Arial"/>
              <w:b w:val="0"/>
              <w:bCs w:val="0"/>
              <w:color w:val="0070C0"/>
              <w:sz w:val="24"/>
              <w:szCs w:val="24"/>
            </w:rPr>
            <w:t>Contents</w:t>
          </w:r>
        </w:p>
        <w:p w14:paraId="6C7D1779" w14:textId="7E7C150C" w:rsidR="0026490B" w:rsidRDefault="000A5254">
          <w:pPr>
            <w:pStyle w:val="TOC2"/>
            <w:tabs>
              <w:tab w:val="right" w:leader="dot" w:pos="9016"/>
            </w:tabs>
            <w:rPr>
              <w:rFonts w:asciiTheme="minorHAnsi" w:eastAsiaTheme="minorEastAsia" w:hAnsiTheme="minorHAnsi"/>
              <w:noProof/>
              <w:kern w:val="2"/>
              <w:sz w:val="24"/>
              <w:szCs w:val="24"/>
              <w:lang w:eastAsia="en-GB"/>
              <w14:ligatures w14:val="standardContextual"/>
            </w:rPr>
          </w:pPr>
          <w:r w:rsidRPr="004E63E4">
            <w:rPr>
              <w:rFonts w:cs="Arial"/>
              <w:sz w:val="24"/>
              <w:szCs w:val="24"/>
            </w:rPr>
            <w:fldChar w:fldCharType="begin"/>
          </w:r>
          <w:r w:rsidRPr="004E63E4">
            <w:rPr>
              <w:rFonts w:cs="Arial"/>
              <w:sz w:val="24"/>
              <w:szCs w:val="24"/>
            </w:rPr>
            <w:instrText xml:space="preserve"> TOC \o "1-3" \h \z \u </w:instrText>
          </w:r>
          <w:r w:rsidRPr="004E63E4">
            <w:rPr>
              <w:rFonts w:cs="Arial"/>
              <w:sz w:val="24"/>
              <w:szCs w:val="24"/>
            </w:rPr>
            <w:fldChar w:fldCharType="separate"/>
          </w:r>
          <w:hyperlink w:anchor="_Toc204783812" w:history="1">
            <w:r w:rsidR="0026490B" w:rsidRPr="000B4CEC">
              <w:rPr>
                <w:rStyle w:val="Hyperlink"/>
                <w:noProof/>
              </w:rPr>
              <w:t>Introduction</w:t>
            </w:r>
            <w:r w:rsidR="0026490B">
              <w:rPr>
                <w:noProof/>
                <w:webHidden/>
              </w:rPr>
              <w:tab/>
            </w:r>
            <w:r w:rsidR="0026490B">
              <w:rPr>
                <w:noProof/>
                <w:webHidden/>
              </w:rPr>
              <w:fldChar w:fldCharType="begin"/>
            </w:r>
            <w:r w:rsidR="0026490B">
              <w:rPr>
                <w:noProof/>
                <w:webHidden/>
              </w:rPr>
              <w:instrText xml:space="preserve"> PAGEREF _Toc204783812 \h </w:instrText>
            </w:r>
            <w:r w:rsidR="0026490B">
              <w:rPr>
                <w:noProof/>
                <w:webHidden/>
              </w:rPr>
            </w:r>
            <w:r w:rsidR="0026490B">
              <w:rPr>
                <w:noProof/>
                <w:webHidden/>
              </w:rPr>
              <w:fldChar w:fldCharType="separate"/>
            </w:r>
            <w:r w:rsidR="0026490B">
              <w:rPr>
                <w:noProof/>
                <w:webHidden/>
              </w:rPr>
              <w:t>4</w:t>
            </w:r>
            <w:r w:rsidR="0026490B">
              <w:rPr>
                <w:noProof/>
                <w:webHidden/>
              </w:rPr>
              <w:fldChar w:fldCharType="end"/>
            </w:r>
          </w:hyperlink>
        </w:p>
        <w:p w14:paraId="15FA5D05" w14:textId="39827A78" w:rsidR="0026490B" w:rsidRDefault="0026490B">
          <w:pPr>
            <w:pStyle w:val="TOC2"/>
            <w:tabs>
              <w:tab w:val="right" w:leader="dot" w:pos="9016"/>
            </w:tabs>
            <w:rPr>
              <w:rFonts w:asciiTheme="minorHAnsi" w:eastAsiaTheme="minorEastAsia" w:hAnsiTheme="minorHAnsi"/>
              <w:noProof/>
              <w:kern w:val="2"/>
              <w:sz w:val="24"/>
              <w:szCs w:val="24"/>
              <w:lang w:eastAsia="en-GB"/>
              <w14:ligatures w14:val="standardContextual"/>
            </w:rPr>
          </w:pPr>
          <w:hyperlink w:anchor="_Toc204783813" w:history="1">
            <w:r w:rsidRPr="000B4CEC">
              <w:rPr>
                <w:rStyle w:val="Hyperlink"/>
                <w:noProof/>
              </w:rPr>
              <w:t>Purpose</w:t>
            </w:r>
            <w:r>
              <w:rPr>
                <w:noProof/>
                <w:webHidden/>
              </w:rPr>
              <w:tab/>
            </w:r>
            <w:r>
              <w:rPr>
                <w:noProof/>
                <w:webHidden/>
              </w:rPr>
              <w:fldChar w:fldCharType="begin"/>
            </w:r>
            <w:r>
              <w:rPr>
                <w:noProof/>
                <w:webHidden/>
              </w:rPr>
              <w:instrText xml:space="preserve"> PAGEREF _Toc204783813 \h </w:instrText>
            </w:r>
            <w:r>
              <w:rPr>
                <w:noProof/>
                <w:webHidden/>
              </w:rPr>
            </w:r>
            <w:r>
              <w:rPr>
                <w:noProof/>
                <w:webHidden/>
              </w:rPr>
              <w:fldChar w:fldCharType="separate"/>
            </w:r>
            <w:r>
              <w:rPr>
                <w:noProof/>
                <w:webHidden/>
              </w:rPr>
              <w:t>4</w:t>
            </w:r>
            <w:r>
              <w:rPr>
                <w:noProof/>
                <w:webHidden/>
              </w:rPr>
              <w:fldChar w:fldCharType="end"/>
            </w:r>
          </w:hyperlink>
        </w:p>
        <w:p w14:paraId="40CF3733" w14:textId="0B305677" w:rsidR="0026490B" w:rsidRDefault="0026490B">
          <w:pPr>
            <w:pStyle w:val="TOC2"/>
            <w:tabs>
              <w:tab w:val="right" w:leader="dot" w:pos="9016"/>
            </w:tabs>
            <w:rPr>
              <w:rFonts w:asciiTheme="minorHAnsi" w:eastAsiaTheme="minorEastAsia" w:hAnsiTheme="minorHAnsi"/>
              <w:noProof/>
              <w:kern w:val="2"/>
              <w:sz w:val="24"/>
              <w:szCs w:val="24"/>
              <w:lang w:eastAsia="en-GB"/>
              <w14:ligatures w14:val="standardContextual"/>
            </w:rPr>
          </w:pPr>
          <w:hyperlink w:anchor="_Toc204783814" w:history="1">
            <w:r w:rsidRPr="000B4CEC">
              <w:rPr>
                <w:rStyle w:val="Hyperlink"/>
                <w:noProof/>
              </w:rPr>
              <w:t>Scope</w:t>
            </w:r>
            <w:r>
              <w:rPr>
                <w:noProof/>
                <w:webHidden/>
              </w:rPr>
              <w:tab/>
            </w:r>
            <w:r>
              <w:rPr>
                <w:noProof/>
                <w:webHidden/>
              </w:rPr>
              <w:fldChar w:fldCharType="begin"/>
            </w:r>
            <w:r>
              <w:rPr>
                <w:noProof/>
                <w:webHidden/>
              </w:rPr>
              <w:instrText xml:space="preserve"> PAGEREF _Toc204783814 \h </w:instrText>
            </w:r>
            <w:r>
              <w:rPr>
                <w:noProof/>
                <w:webHidden/>
              </w:rPr>
            </w:r>
            <w:r>
              <w:rPr>
                <w:noProof/>
                <w:webHidden/>
              </w:rPr>
              <w:fldChar w:fldCharType="separate"/>
            </w:r>
            <w:r>
              <w:rPr>
                <w:noProof/>
                <w:webHidden/>
              </w:rPr>
              <w:t>5</w:t>
            </w:r>
            <w:r>
              <w:rPr>
                <w:noProof/>
                <w:webHidden/>
              </w:rPr>
              <w:fldChar w:fldCharType="end"/>
            </w:r>
          </w:hyperlink>
        </w:p>
        <w:p w14:paraId="688563B6" w14:textId="1F4B6627" w:rsidR="0026490B" w:rsidRDefault="0026490B">
          <w:pPr>
            <w:pStyle w:val="TOC2"/>
            <w:tabs>
              <w:tab w:val="right" w:leader="dot" w:pos="9016"/>
            </w:tabs>
            <w:rPr>
              <w:rFonts w:asciiTheme="minorHAnsi" w:eastAsiaTheme="minorEastAsia" w:hAnsiTheme="minorHAnsi"/>
              <w:noProof/>
              <w:kern w:val="2"/>
              <w:sz w:val="24"/>
              <w:szCs w:val="24"/>
              <w:lang w:eastAsia="en-GB"/>
              <w14:ligatures w14:val="standardContextual"/>
            </w:rPr>
          </w:pPr>
          <w:hyperlink w:anchor="_Toc204783815" w:history="1">
            <w:r w:rsidRPr="000B4CEC">
              <w:rPr>
                <w:rStyle w:val="Hyperlink"/>
                <w:noProof/>
              </w:rPr>
              <w:t>Exclusions</w:t>
            </w:r>
            <w:r>
              <w:rPr>
                <w:noProof/>
                <w:webHidden/>
              </w:rPr>
              <w:tab/>
            </w:r>
            <w:r>
              <w:rPr>
                <w:noProof/>
                <w:webHidden/>
              </w:rPr>
              <w:fldChar w:fldCharType="begin"/>
            </w:r>
            <w:r>
              <w:rPr>
                <w:noProof/>
                <w:webHidden/>
              </w:rPr>
              <w:instrText xml:space="preserve"> PAGEREF _Toc204783815 \h </w:instrText>
            </w:r>
            <w:r>
              <w:rPr>
                <w:noProof/>
                <w:webHidden/>
              </w:rPr>
            </w:r>
            <w:r>
              <w:rPr>
                <w:noProof/>
                <w:webHidden/>
              </w:rPr>
              <w:fldChar w:fldCharType="separate"/>
            </w:r>
            <w:r>
              <w:rPr>
                <w:noProof/>
                <w:webHidden/>
              </w:rPr>
              <w:t>5</w:t>
            </w:r>
            <w:r>
              <w:rPr>
                <w:noProof/>
                <w:webHidden/>
              </w:rPr>
              <w:fldChar w:fldCharType="end"/>
            </w:r>
          </w:hyperlink>
        </w:p>
        <w:p w14:paraId="604F2232" w14:textId="0B523A98" w:rsidR="0026490B" w:rsidRDefault="0026490B">
          <w:pPr>
            <w:pStyle w:val="TOC2"/>
            <w:tabs>
              <w:tab w:val="right" w:leader="dot" w:pos="9016"/>
            </w:tabs>
            <w:rPr>
              <w:rFonts w:asciiTheme="minorHAnsi" w:eastAsiaTheme="minorEastAsia" w:hAnsiTheme="minorHAnsi"/>
              <w:noProof/>
              <w:kern w:val="2"/>
              <w:sz w:val="24"/>
              <w:szCs w:val="24"/>
              <w:lang w:eastAsia="en-GB"/>
              <w14:ligatures w14:val="standardContextual"/>
            </w:rPr>
          </w:pPr>
          <w:hyperlink w:anchor="_Toc204783816" w:history="1">
            <w:r w:rsidRPr="000B4CEC">
              <w:rPr>
                <w:rStyle w:val="Hyperlink"/>
                <w:noProof/>
              </w:rPr>
              <w:t>Our Patient Safety Culture</w:t>
            </w:r>
            <w:r>
              <w:rPr>
                <w:noProof/>
                <w:webHidden/>
              </w:rPr>
              <w:tab/>
            </w:r>
            <w:r>
              <w:rPr>
                <w:noProof/>
                <w:webHidden/>
              </w:rPr>
              <w:fldChar w:fldCharType="begin"/>
            </w:r>
            <w:r>
              <w:rPr>
                <w:noProof/>
                <w:webHidden/>
              </w:rPr>
              <w:instrText xml:space="preserve"> PAGEREF _Toc204783816 \h </w:instrText>
            </w:r>
            <w:r>
              <w:rPr>
                <w:noProof/>
                <w:webHidden/>
              </w:rPr>
            </w:r>
            <w:r>
              <w:rPr>
                <w:noProof/>
                <w:webHidden/>
              </w:rPr>
              <w:fldChar w:fldCharType="separate"/>
            </w:r>
            <w:r>
              <w:rPr>
                <w:noProof/>
                <w:webHidden/>
              </w:rPr>
              <w:t>5</w:t>
            </w:r>
            <w:r>
              <w:rPr>
                <w:noProof/>
                <w:webHidden/>
              </w:rPr>
              <w:fldChar w:fldCharType="end"/>
            </w:r>
          </w:hyperlink>
        </w:p>
        <w:p w14:paraId="56DFB347" w14:textId="1BDE3F70" w:rsidR="0026490B" w:rsidRDefault="0026490B">
          <w:pPr>
            <w:pStyle w:val="TOC3"/>
            <w:tabs>
              <w:tab w:val="right" w:leader="dot" w:pos="9016"/>
            </w:tabs>
            <w:rPr>
              <w:rFonts w:asciiTheme="minorHAnsi" w:hAnsiTheme="minorHAnsi"/>
              <w:noProof/>
              <w:kern w:val="2"/>
              <w:sz w:val="24"/>
              <w:szCs w:val="24"/>
              <w:lang w:val="en-GB" w:eastAsia="en-GB"/>
              <w14:ligatures w14:val="standardContextual"/>
            </w:rPr>
          </w:pPr>
          <w:hyperlink w:anchor="_Toc204783817" w:history="1">
            <w:r w:rsidRPr="000B4CEC">
              <w:rPr>
                <w:rStyle w:val="Hyperlink"/>
                <w:noProof/>
              </w:rPr>
              <w:t>Promotion and Development of Just Culture</w:t>
            </w:r>
            <w:r>
              <w:rPr>
                <w:noProof/>
                <w:webHidden/>
              </w:rPr>
              <w:tab/>
            </w:r>
            <w:r>
              <w:rPr>
                <w:noProof/>
                <w:webHidden/>
              </w:rPr>
              <w:fldChar w:fldCharType="begin"/>
            </w:r>
            <w:r>
              <w:rPr>
                <w:noProof/>
                <w:webHidden/>
              </w:rPr>
              <w:instrText xml:space="preserve"> PAGEREF _Toc204783817 \h </w:instrText>
            </w:r>
            <w:r>
              <w:rPr>
                <w:noProof/>
                <w:webHidden/>
              </w:rPr>
            </w:r>
            <w:r>
              <w:rPr>
                <w:noProof/>
                <w:webHidden/>
              </w:rPr>
              <w:fldChar w:fldCharType="separate"/>
            </w:r>
            <w:r>
              <w:rPr>
                <w:noProof/>
                <w:webHidden/>
              </w:rPr>
              <w:t>6</w:t>
            </w:r>
            <w:r>
              <w:rPr>
                <w:noProof/>
                <w:webHidden/>
              </w:rPr>
              <w:fldChar w:fldCharType="end"/>
            </w:r>
          </w:hyperlink>
        </w:p>
        <w:p w14:paraId="5EED7FD6" w14:textId="4FEDF4FE" w:rsidR="0026490B" w:rsidRDefault="0026490B">
          <w:pPr>
            <w:pStyle w:val="TOC3"/>
            <w:tabs>
              <w:tab w:val="right" w:leader="dot" w:pos="9016"/>
            </w:tabs>
            <w:rPr>
              <w:rFonts w:asciiTheme="minorHAnsi" w:hAnsiTheme="minorHAnsi"/>
              <w:noProof/>
              <w:kern w:val="2"/>
              <w:sz w:val="24"/>
              <w:szCs w:val="24"/>
              <w:lang w:val="en-GB" w:eastAsia="en-GB"/>
              <w14:ligatures w14:val="standardContextual"/>
            </w:rPr>
          </w:pPr>
          <w:hyperlink w:anchor="_Toc204783818" w:history="1">
            <w:r w:rsidRPr="000B4CEC">
              <w:rPr>
                <w:rStyle w:val="Hyperlink"/>
                <w:noProof/>
              </w:rPr>
              <w:t>Supporting Open and Transparent Reporting</w:t>
            </w:r>
            <w:r>
              <w:rPr>
                <w:noProof/>
                <w:webHidden/>
              </w:rPr>
              <w:tab/>
            </w:r>
            <w:r>
              <w:rPr>
                <w:noProof/>
                <w:webHidden/>
              </w:rPr>
              <w:fldChar w:fldCharType="begin"/>
            </w:r>
            <w:r>
              <w:rPr>
                <w:noProof/>
                <w:webHidden/>
              </w:rPr>
              <w:instrText xml:space="preserve"> PAGEREF _Toc204783818 \h </w:instrText>
            </w:r>
            <w:r>
              <w:rPr>
                <w:noProof/>
                <w:webHidden/>
              </w:rPr>
            </w:r>
            <w:r>
              <w:rPr>
                <w:noProof/>
                <w:webHidden/>
              </w:rPr>
              <w:fldChar w:fldCharType="separate"/>
            </w:r>
            <w:r>
              <w:rPr>
                <w:noProof/>
                <w:webHidden/>
              </w:rPr>
              <w:t>7</w:t>
            </w:r>
            <w:r>
              <w:rPr>
                <w:noProof/>
                <w:webHidden/>
              </w:rPr>
              <w:fldChar w:fldCharType="end"/>
            </w:r>
          </w:hyperlink>
        </w:p>
        <w:p w14:paraId="584E14CD" w14:textId="0821EABE" w:rsidR="0026490B" w:rsidRDefault="0026490B">
          <w:pPr>
            <w:pStyle w:val="TOC3"/>
            <w:tabs>
              <w:tab w:val="right" w:leader="dot" w:pos="9016"/>
            </w:tabs>
            <w:rPr>
              <w:rFonts w:asciiTheme="minorHAnsi" w:hAnsiTheme="minorHAnsi"/>
              <w:noProof/>
              <w:kern w:val="2"/>
              <w:sz w:val="24"/>
              <w:szCs w:val="24"/>
              <w:lang w:val="en-GB" w:eastAsia="en-GB"/>
              <w14:ligatures w14:val="standardContextual"/>
            </w:rPr>
          </w:pPr>
          <w:hyperlink w:anchor="_Toc204783819" w:history="1">
            <w:r w:rsidRPr="000B4CEC">
              <w:rPr>
                <w:rStyle w:val="Hyperlink"/>
                <w:noProof/>
              </w:rPr>
              <w:t>Improvements in Patient Safety Culture</w:t>
            </w:r>
            <w:r>
              <w:rPr>
                <w:noProof/>
                <w:webHidden/>
              </w:rPr>
              <w:tab/>
            </w:r>
            <w:r>
              <w:rPr>
                <w:noProof/>
                <w:webHidden/>
              </w:rPr>
              <w:fldChar w:fldCharType="begin"/>
            </w:r>
            <w:r>
              <w:rPr>
                <w:noProof/>
                <w:webHidden/>
              </w:rPr>
              <w:instrText xml:space="preserve"> PAGEREF _Toc204783819 \h </w:instrText>
            </w:r>
            <w:r>
              <w:rPr>
                <w:noProof/>
                <w:webHidden/>
              </w:rPr>
            </w:r>
            <w:r>
              <w:rPr>
                <w:noProof/>
                <w:webHidden/>
              </w:rPr>
              <w:fldChar w:fldCharType="separate"/>
            </w:r>
            <w:r>
              <w:rPr>
                <w:noProof/>
                <w:webHidden/>
              </w:rPr>
              <w:t>7</w:t>
            </w:r>
            <w:r>
              <w:rPr>
                <w:noProof/>
                <w:webHidden/>
              </w:rPr>
              <w:fldChar w:fldCharType="end"/>
            </w:r>
          </w:hyperlink>
        </w:p>
        <w:p w14:paraId="4680D111" w14:textId="18E5ABD4" w:rsidR="0026490B" w:rsidRDefault="0026490B">
          <w:pPr>
            <w:pStyle w:val="TOC2"/>
            <w:tabs>
              <w:tab w:val="right" w:leader="dot" w:pos="9016"/>
            </w:tabs>
            <w:rPr>
              <w:rFonts w:asciiTheme="minorHAnsi" w:eastAsiaTheme="minorEastAsia" w:hAnsiTheme="minorHAnsi"/>
              <w:noProof/>
              <w:kern w:val="2"/>
              <w:sz w:val="24"/>
              <w:szCs w:val="24"/>
              <w:lang w:eastAsia="en-GB"/>
              <w14:ligatures w14:val="standardContextual"/>
            </w:rPr>
          </w:pPr>
          <w:hyperlink w:anchor="_Toc204783820" w:history="1">
            <w:r w:rsidRPr="000B4CEC">
              <w:rPr>
                <w:rStyle w:val="Hyperlink"/>
                <w:noProof/>
              </w:rPr>
              <w:t>Patient Safety Partners</w:t>
            </w:r>
            <w:r>
              <w:rPr>
                <w:noProof/>
                <w:webHidden/>
              </w:rPr>
              <w:tab/>
            </w:r>
            <w:r>
              <w:rPr>
                <w:noProof/>
                <w:webHidden/>
              </w:rPr>
              <w:fldChar w:fldCharType="begin"/>
            </w:r>
            <w:r>
              <w:rPr>
                <w:noProof/>
                <w:webHidden/>
              </w:rPr>
              <w:instrText xml:space="preserve"> PAGEREF _Toc204783820 \h </w:instrText>
            </w:r>
            <w:r>
              <w:rPr>
                <w:noProof/>
                <w:webHidden/>
              </w:rPr>
            </w:r>
            <w:r>
              <w:rPr>
                <w:noProof/>
                <w:webHidden/>
              </w:rPr>
              <w:fldChar w:fldCharType="separate"/>
            </w:r>
            <w:r>
              <w:rPr>
                <w:noProof/>
                <w:webHidden/>
              </w:rPr>
              <w:t>8</w:t>
            </w:r>
            <w:r>
              <w:rPr>
                <w:noProof/>
                <w:webHidden/>
              </w:rPr>
              <w:fldChar w:fldCharType="end"/>
            </w:r>
          </w:hyperlink>
        </w:p>
        <w:p w14:paraId="56E155C9" w14:textId="46EE3452" w:rsidR="0026490B" w:rsidRDefault="0026490B">
          <w:pPr>
            <w:pStyle w:val="TOC2"/>
            <w:tabs>
              <w:tab w:val="right" w:leader="dot" w:pos="9016"/>
            </w:tabs>
            <w:rPr>
              <w:rFonts w:asciiTheme="minorHAnsi" w:eastAsiaTheme="minorEastAsia" w:hAnsiTheme="minorHAnsi"/>
              <w:noProof/>
              <w:kern w:val="2"/>
              <w:sz w:val="24"/>
              <w:szCs w:val="24"/>
              <w:lang w:eastAsia="en-GB"/>
              <w14:ligatures w14:val="standardContextual"/>
            </w:rPr>
          </w:pPr>
          <w:hyperlink w:anchor="_Toc204783821" w:history="1">
            <w:r w:rsidRPr="000B4CEC">
              <w:rPr>
                <w:rStyle w:val="Hyperlink"/>
                <w:noProof/>
              </w:rPr>
              <w:t>Addressing health inequalities</w:t>
            </w:r>
            <w:r>
              <w:rPr>
                <w:noProof/>
                <w:webHidden/>
              </w:rPr>
              <w:tab/>
            </w:r>
            <w:r>
              <w:rPr>
                <w:noProof/>
                <w:webHidden/>
              </w:rPr>
              <w:fldChar w:fldCharType="begin"/>
            </w:r>
            <w:r>
              <w:rPr>
                <w:noProof/>
                <w:webHidden/>
              </w:rPr>
              <w:instrText xml:space="preserve"> PAGEREF _Toc204783821 \h </w:instrText>
            </w:r>
            <w:r>
              <w:rPr>
                <w:noProof/>
                <w:webHidden/>
              </w:rPr>
            </w:r>
            <w:r>
              <w:rPr>
                <w:noProof/>
                <w:webHidden/>
              </w:rPr>
              <w:fldChar w:fldCharType="separate"/>
            </w:r>
            <w:r>
              <w:rPr>
                <w:noProof/>
                <w:webHidden/>
              </w:rPr>
              <w:t>9</w:t>
            </w:r>
            <w:r>
              <w:rPr>
                <w:noProof/>
                <w:webHidden/>
              </w:rPr>
              <w:fldChar w:fldCharType="end"/>
            </w:r>
          </w:hyperlink>
        </w:p>
        <w:p w14:paraId="1DA4ED58" w14:textId="098CEA06" w:rsidR="0026490B" w:rsidRDefault="0026490B">
          <w:pPr>
            <w:pStyle w:val="TOC2"/>
            <w:tabs>
              <w:tab w:val="right" w:leader="dot" w:pos="9016"/>
            </w:tabs>
            <w:rPr>
              <w:rFonts w:asciiTheme="minorHAnsi" w:eastAsiaTheme="minorEastAsia" w:hAnsiTheme="minorHAnsi"/>
              <w:noProof/>
              <w:kern w:val="2"/>
              <w:sz w:val="24"/>
              <w:szCs w:val="24"/>
              <w:lang w:eastAsia="en-GB"/>
              <w14:ligatures w14:val="standardContextual"/>
            </w:rPr>
          </w:pPr>
          <w:hyperlink w:anchor="_Toc204783822" w:history="1">
            <w:r w:rsidRPr="000B4CEC">
              <w:rPr>
                <w:rStyle w:val="Hyperlink"/>
                <w:noProof/>
              </w:rPr>
              <w:t>Engaging and Involving Patients, Families and Staff following a Patient Safety Incident</w:t>
            </w:r>
            <w:r>
              <w:rPr>
                <w:noProof/>
                <w:webHidden/>
              </w:rPr>
              <w:tab/>
            </w:r>
            <w:r>
              <w:rPr>
                <w:noProof/>
                <w:webHidden/>
              </w:rPr>
              <w:fldChar w:fldCharType="begin"/>
            </w:r>
            <w:r>
              <w:rPr>
                <w:noProof/>
                <w:webHidden/>
              </w:rPr>
              <w:instrText xml:space="preserve"> PAGEREF _Toc204783822 \h </w:instrText>
            </w:r>
            <w:r>
              <w:rPr>
                <w:noProof/>
                <w:webHidden/>
              </w:rPr>
            </w:r>
            <w:r>
              <w:rPr>
                <w:noProof/>
                <w:webHidden/>
              </w:rPr>
              <w:fldChar w:fldCharType="separate"/>
            </w:r>
            <w:r>
              <w:rPr>
                <w:noProof/>
                <w:webHidden/>
              </w:rPr>
              <w:t>9</w:t>
            </w:r>
            <w:r>
              <w:rPr>
                <w:noProof/>
                <w:webHidden/>
              </w:rPr>
              <w:fldChar w:fldCharType="end"/>
            </w:r>
          </w:hyperlink>
        </w:p>
        <w:p w14:paraId="5B31FCF8" w14:textId="12B687C2" w:rsidR="0026490B" w:rsidRDefault="0026490B">
          <w:pPr>
            <w:pStyle w:val="TOC2"/>
            <w:tabs>
              <w:tab w:val="right" w:leader="dot" w:pos="9016"/>
            </w:tabs>
            <w:rPr>
              <w:rFonts w:asciiTheme="minorHAnsi" w:eastAsiaTheme="minorEastAsia" w:hAnsiTheme="minorHAnsi"/>
              <w:noProof/>
              <w:kern w:val="2"/>
              <w:sz w:val="24"/>
              <w:szCs w:val="24"/>
              <w:lang w:eastAsia="en-GB"/>
              <w14:ligatures w14:val="standardContextual"/>
            </w:rPr>
          </w:pPr>
          <w:hyperlink w:anchor="_Toc204783823" w:history="1">
            <w:r w:rsidRPr="000B4CEC">
              <w:rPr>
                <w:rStyle w:val="Hyperlink"/>
                <w:noProof/>
              </w:rPr>
              <w:t>Patient Safety Incident Response Planning</w:t>
            </w:r>
            <w:r>
              <w:rPr>
                <w:noProof/>
                <w:webHidden/>
              </w:rPr>
              <w:tab/>
            </w:r>
            <w:r>
              <w:rPr>
                <w:noProof/>
                <w:webHidden/>
              </w:rPr>
              <w:fldChar w:fldCharType="begin"/>
            </w:r>
            <w:r>
              <w:rPr>
                <w:noProof/>
                <w:webHidden/>
              </w:rPr>
              <w:instrText xml:space="preserve"> PAGEREF _Toc204783823 \h </w:instrText>
            </w:r>
            <w:r>
              <w:rPr>
                <w:noProof/>
                <w:webHidden/>
              </w:rPr>
            </w:r>
            <w:r>
              <w:rPr>
                <w:noProof/>
                <w:webHidden/>
              </w:rPr>
              <w:fldChar w:fldCharType="separate"/>
            </w:r>
            <w:r>
              <w:rPr>
                <w:noProof/>
                <w:webHidden/>
              </w:rPr>
              <w:t>11</w:t>
            </w:r>
            <w:r>
              <w:rPr>
                <w:noProof/>
                <w:webHidden/>
              </w:rPr>
              <w:fldChar w:fldCharType="end"/>
            </w:r>
          </w:hyperlink>
        </w:p>
        <w:p w14:paraId="27C2922F" w14:textId="58DBEF35" w:rsidR="0026490B" w:rsidRDefault="0026490B">
          <w:pPr>
            <w:pStyle w:val="TOC2"/>
            <w:tabs>
              <w:tab w:val="right" w:leader="dot" w:pos="9016"/>
            </w:tabs>
            <w:rPr>
              <w:rFonts w:asciiTheme="minorHAnsi" w:eastAsiaTheme="minorEastAsia" w:hAnsiTheme="minorHAnsi"/>
              <w:noProof/>
              <w:kern w:val="2"/>
              <w:sz w:val="24"/>
              <w:szCs w:val="24"/>
              <w:lang w:eastAsia="en-GB"/>
              <w14:ligatures w14:val="standardContextual"/>
            </w:rPr>
          </w:pPr>
          <w:hyperlink w:anchor="_Toc204783824" w:history="1">
            <w:r w:rsidRPr="000B4CEC">
              <w:rPr>
                <w:rStyle w:val="Hyperlink"/>
                <w:noProof/>
              </w:rPr>
              <w:t>Resources and Training to support Patient Safety Incident Response</w:t>
            </w:r>
            <w:r>
              <w:rPr>
                <w:noProof/>
                <w:webHidden/>
              </w:rPr>
              <w:tab/>
            </w:r>
            <w:r>
              <w:rPr>
                <w:noProof/>
                <w:webHidden/>
              </w:rPr>
              <w:fldChar w:fldCharType="begin"/>
            </w:r>
            <w:r>
              <w:rPr>
                <w:noProof/>
                <w:webHidden/>
              </w:rPr>
              <w:instrText xml:space="preserve"> PAGEREF _Toc204783824 \h </w:instrText>
            </w:r>
            <w:r>
              <w:rPr>
                <w:noProof/>
                <w:webHidden/>
              </w:rPr>
            </w:r>
            <w:r>
              <w:rPr>
                <w:noProof/>
                <w:webHidden/>
              </w:rPr>
              <w:fldChar w:fldCharType="separate"/>
            </w:r>
            <w:r>
              <w:rPr>
                <w:noProof/>
                <w:webHidden/>
              </w:rPr>
              <w:t>11</w:t>
            </w:r>
            <w:r>
              <w:rPr>
                <w:noProof/>
                <w:webHidden/>
              </w:rPr>
              <w:fldChar w:fldCharType="end"/>
            </w:r>
          </w:hyperlink>
        </w:p>
        <w:p w14:paraId="6E6ED19D" w14:textId="7F4334F8" w:rsidR="0026490B" w:rsidRDefault="0026490B">
          <w:pPr>
            <w:pStyle w:val="TOC2"/>
            <w:tabs>
              <w:tab w:val="right" w:leader="dot" w:pos="9016"/>
            </w:tabs>
            <w:rPr>
              <w:rFonts w:asciiTheme="minorHAnsi" w:eastAsiaTheme="minorEastAsia" w:hAnsiTheme="minorHAnsi"/>
              <w:noProof/>
              <w:kern w:val="2"/>
              <w:sz w:val="24"/>
              <w:szCs w:val="24"/>
              <w:lang w:eastAsia="en-GB"/>
              <w14:ligatures w14:val="standardContextual"/>
            </w:rPr>
          </w:pPr>
          <w:hyperlink w:anchor="_Toc204783825" w:history="1">
            <w:r w:rsidRPr="000B4CEC">
              <w:rPr>
                <w:rStyle w:val="Hyperlink"/>
                <w:noProof/>
              </w:rPr>
              <w:t>Training</w:t>
            </w:r>
            <w:r>
              <w:rPr>
                <w:noProof/>
                <w:webHidden/>
              </w:rPr>
              <w:tab/>
            </w:r>
            <w:r>
              <w:rPr>
                <w:noProof/>
                <w:webHidden/>
              </w:rPr>
              <w:fldChar w:fldCharType="begin"/>
            </w:r>
            <w:r>
              <w:rPr>
                <w:noProof/>
                <w:webHidden/>
              </w:rPr>
              <w:instrText xml:space="preserve"> PAGEREF _Toc204783825 \h </w:instrText>
            </w:r>
            <w:r>
              <w:rPr>
                <w:noProof/>
                <w:webHidden/>
              </w:rPr>
            </w:r>
            <w:r>
              <w:rPr>
                <w:noProof/>
                <w:webHidden/>
              </w:rPr>
              <w:fldChar w:fldCharType="separate"/>
            </w:r>
            <w:r>
              <w:rPr>
                <w:noProof/>
                <w:webHidden/>
              </w:rPr>
              <w:t>12</w:t>
            </w:r>
            <w:r>
              <w:rPr>
                <w:noProof/>
                <w:webHidden/>
              </w:rPr>
              <w:fldChar w:fldCharType="end"/>
            </w:r>
          </w:hyperlink>
        </w:p>
        <w:p w14:paraId="2C6C6B3F" w14:textId="44F17D21" w:rsidR="0026490B" w:rsidRDefault="0026490B">
          <w:pPr>
            <w:pStyle w:val="TOC2"/>
            <w:tabs>
              <w:tab w:val="right" w:leader="dot" w:pos="9016"/>
            </w:tabs>
            <w:rPr>
              <w:rFonts w:asciiTheme="minorHAnsi" w:eastAsiaTheme="minorEastAsia" w:hAnsiTheme="minorHAnsi"/>
              <w:noProof/>
              <w:kern w:val="2"/>
              <w:sz w:val="24"/>
              <w:szCs w:val="24"/>
              <w:lang w:eastAsia="en-GB"/>
              <w14:ligatures w14:val="standardContextual"/>
            </w:rPr>
          </w:pPr>
          <w:hyperlink w:anchor="_Toc204783826" w:history="1">
            <w:r w:rsidRPr="000B4CEC">
              <w:rPr>
                <w:rStyle w:val="Hyperlink"/>
                <w:noProof/>
              </w:rPr>
              <w:t>Our Patient Safety Incident Response Plan (PSIRP)</w:t>
            </w:r>
            <w:r>
              <w:rPr>
                <w:noProof/>
                <w:webHidden/>
              </w:rPr>
              <w:tab/>
            </w:r>
            <w:r>
              <w:rPr>
                <w:noProof/>
                <w:webHidden/>
              </w:rPr>
              <w:fldChar w:fldCharType="begin"/>
            </w:r>
            <w:r>
              <w:rPr>
                <w:noProof/>
                <w:webHidden/>
              </w:rPr>
              <w:instrText xml:space="preserve"> PAGEREF _Toc204783826 \h </w:instrText>
            </w:r>
            <w:r>
              <w:rPr>
                <w:noProof/>
                <w:webHidden/>
              </w:rPr>
            </w:r>
            <w:r>
              <w:rPr>
                <w:noProof/>
                <w:webHidden/>
              </w:rPr>
              <w:fldChar w:fldCharType="separate"/>
            </w:r>
            <w:r>
              <w:rPr>
                <w:noProof/>
                <w:webHidden/>
              </w:rPr>
              <w:t>12</w:t>
            </w:r>
            <w:r>
              <w:rPr>
                <w:noProof/>
                <w:webHidden/>
              </w:rPr>
              <w:fldChar w:fldCharType="end"/>
            </w:r>
          </w:hyperlink>
        </w:p>
        <w:p w14:paraId="565B296D" w14:textId="44B1C348" w:rsidR="0026490B" w:rsidRDefault="0026490B">
          <w:pPr>
            <w:pStyle w:val="TOC2"/>
            <w:tabs>
              <w:tab w:val="right" w:leader="dot" w:pos="9016"/>
            </w:tabs>
            <w:rPr>
              <w:rFonts w:asciiTheme="minorHAnsi" w:eastAsiaTheme="minorEastAsia" w:hAnsiTheme="minorHAnsi"/>
              <w:noProof/>
              <w:kern w:val="2"/>
              <w:sz w:val="24"/>
              <w:szCs w:val="24"/>
              <w:lang w:eastAsia="en-GB"/>
              <w14:ligatures w14:val="standardContextual"/>
            </w:rPr>
          </w:pPr>
          <w:hyperlink w:anchor="_Toc204783827" w:history="1">
            <w:r w:rsidRPr="000B4CEC">
              <w:rPr>
                <w:rStyle w:val="Hyperlink"/>
                <w:noProof/>
              </w:rPr>
              <w:t>Reviewing our Patient Safety Incident Response Policy and Plan</w:t>
            </w:r>
            <w:r>
              <w:rPr>
                <w:noProof/>
                <w:webHidden/>
              </w:rPr>
              <w:tab/>
            </w:r>
            <w:r>
              <w:rPr>
                <w:noProof/>
                <w:webHidden/>
              </w:rPr>
              <w:fldChar w:fldCharType="begin"/>
            </w:r>
            <w:r>
              <w:rPr>
                <w:noProof/>
                <w:webHidden/>
              </w:rPr>
              <w:instrText xml:space="preserve"> PAGEREF _Toc204783827 \h </w:instrText>
            </w:r>
            <w:r>
              <w:rPr>
                <w:noProof/>
                <w:webHidden/>
              </w:rPr>
            </w:r>
            <w:r>
              <w:rPr>
                <w:noProof/>
                <w:webHidden/>
              </w:rPr>
              <w:fldChar w:fldCharType="separate"/>
            </w:r>
            <w:r>
              <w:rPr>
                <w:noProof/>
                <w:webHidden/>
              </w:rPr>
              <w:t>12</w:t>
            </w:r>
            <w:r>
              <w:rPr>
                <w:noProof/>
                <w:webHidden/>
              </w:rPr>
              <w:fldChar w:fldCharType="end"/>
            </w:r>
          </w:hyperlink>
        </w:p>
        <w:p w14:paraId="025116C3" w14:textId="1BE97851" w:rsidR="0026490B" w:rsidRDefault="0026490B">
          <w:pPr>
            <w:pStyle w:val="TOC2"/>
            <w:tabs>
              <w:tab w:val="right" w:leader="dot" w:pos="9016"/>
            </w:tabs>
            <w:rPr>
              <w:rFonts w:asciiTheme="minorHAnsi" w:eastAsiaTheme="minorEastAsia" w:hAnsiTheme="minorHAnsi"/>
              <w:noProof/>
              <w:kern w:val="2"/>
              <w:sz w:val="24"/>
              <w:szCs w:val="24"/>
              <w:lang w:eastAsia="en-GB"/>
              <w14:ligatures w14:val="standardContextual"/>
            </w:rPr>
          </w:pPr>
          <w:hyperlink w:anchor="_Toc204783828" w:history="1">
            <w:r w:rsidRPr="000B4CEC">
              <w:rPr>
                <w:rStyle w:val="Hyperlink"/>
                <w:noProof/>
              </w:rPr>
              <w:t>Responding to patient safety incidents</w:t>
            </w:r>
            <w:r>
              <w:rPr>
                <w:noProof/>
                <w:webHidden/>
              </w:rPr>
              <w:tab/>
            </w:r>
            <w:r>
              <w:rPr>
                <w:noProof/>
                <w:webHidden/>
              </w:rPr>
              <w:fldChar w:fldCharType="begin"/>
            </w:r>
            <w:r>
              <w:rPr>
                <w:noProof/>
                <w:webHidden/>
              </w:rPr>
              <w:instrText xml:space="preserve"> PAGEREF _Toc204783828 \h </w:instrText>
            </w:r>
            <w:r>
              <w:rPr>
                <w:noProof/>
                <w:webHidden/>
              </w:rPr>
            </w:r>
            <w:r>
              <w:rPr>
                <w:noProof/>
                <w:webHidden/>
              </w:rPr>
              <w:fldChar w:fldCharType="separate"/>
            </w:r>
            <w:r>
              <w:rPr>
                <w:noProof/>
                <w:webHidden/>
              </w:rPr>
              <w:t>13</w:t>
            </w:r>
            <w:r>
              <w:rPr>
                <w:noProof/>
                <w:webHidden/>
              </w:rPr>
              <w:fldChar w:fldCharType="end"/>
            </w:r>
          </w:hyperlink>
        </w:p>
        <w:p w14:paraId="7BE2FA59" w14:textId="7261EB47" w:rsidR="0026490B" w:rsidRDefault="0026490B">
          <w:pPr>
            <w:pStyle w:val="TOC2"/>
            <w:tabs>
              <w:tab w:val="right" w:leader="dot" w:pos="9016"/>
            </w:tabs>
            <w:rPr>
              <w:rFonts w:asciiTheme="minorHAnsi" w:eastAsiaTheme="minorEastAsia" w:hAnsiTheme="minorHAnsi"/>
              <w:noProof/>
              <w:kern w:val="2"/>
              <w:sz w:val="24"/>
              <w:szCs w:val="24"/>
              <w:lang w:eastAsia="en-GB"/>
              <w14:ligatures w14:val="standardContextual"/>
            </w:rPr>
          </w:pPr>
          <w:hyperlink w:anchor="_Toc204783829" w:history="1">
            <w:r w:rsidRPr="000B4CEC">
              <w:rPr>
                <w:rStyle w:val="Hyperlink"/>
                <w:rFonts w:cs="Arial"/>
                <w:noProof/>
              </w:rPr>
              <w:t>R</w:t>
            </w:r>
            <w:r w:rsidRPr="000B4CEC">
              <w:rPr>
                <w:rStyle w:val="Hyperlink"/>
                <w:noProof/>
              </w:rPr>
              <w:t>esponding to cross-system incidents/issues</w:t>
            </w:r>
            <w:r>
              <w:rPr>
                <w:noProof/>
                <w:webHidden/>
              </w:rPr>
              <w:tab/>
            </w:r>
            <w:r>
              <w:rPr>
                <w:noProof/>
                <w:webHidden/>
              </w:rPr>
              <w:fldChar w:fldCharType="begin"/>
            </w:r>
            <w:r>
              <w:rPr>
                <w:noProof/>
                <w:webHidden/>
              </w:rPr>
              <w:instrText xml:space="preserve"> PAGEREF _Toc204783829 \h </w:instrText>
            </w:r>
            <w:r>
              <w:rPr>
                <w:noProof/>
                <w:webHidden/>
              </w:rPr>
            </w:r>
            <w:r>
              <w:rPr>
                <w:noProof/>
                <w:webHidden/>
              </w:rPr>
              <w:fldChar w:fldCharType="separate"/>
            </w:r>
            <w:r>
              <w:rPr>
                <w:noProof/>
                <w:webHidden/>
              </w:rPr>
              <w:t>14</w:t>
            </w:r>
            <w:r>
              <w:rPr>
                <w:noProof/>
                <w:webHidden/>
              </w:rPr>
              <w:fldChar w:fldCharType="end"/>
            </w:r>
          </w:hyperlink>
        </w:p>
        <w:p w14:paraId="4DAB1B6C" w14:textId="61B81543" w:rsidR="0026490B" w:rsidRDefault="0026490B">
          <w:pPr>
            <w:pStyle w:val="TOC2"/>
            <w:tabs>
              <w:tab w:val="right" w:leader="dot" w:pos="9016"/>
            </w:tabs>
            <w:rPr>
              <w:rFonts w:asciiTheme="minorHAnsi" w:eastAsiaTheme="minorEastAsia" w:hAnsiTheme="minorHAnsi"/>
              <w:noProof/>
              <w:kern w:val="2"/>
              <w:sz w:val="24"/>
              <w:szCs w:val="24"/>
              <w:lang w:eastAsia="en-GB"/>
              <w14:ligatures w14:val="standardContextual"/>
            </w:rPr>
          </w:pPr>
          <w:hyperlink w:anchor="_Toc204783830" w:history="1">
            <w:r w:rsidRPr="000B4CEC">
              <w:rPr>
                <w:rStyle w:val="Hyperlink"/>
                <w:noProof/>
              </w:rPr>
              <w:t>Timeframes for learning responses</w:t>
            </w:r>
            <w:r>
              <w:rPr>
                <w:noProof/>
                <w:webHidden/>
              </w:rPr>
              <w:tab/>
            </w:r>
            <w:r>
              <w:rPr>
                <w:noProof/>
                <w:webHidden/>
              </w:rPr>
              <w:fldChar w:fldCharType="begin"/>
            </w:r>
            <w:r>
              <w:rPr>
                <w:noProof/>
                <w:webHidden/>
              </w:rPr>
              <w:instrText xml:space="preserve"> PAGEREF _Toc204783830 \h </w:instrText>
            </w:r>
            <w:r>
              <w:rPr>
                <w:noProof/>
                <w:webHidden/>
              </w:rPr>
            </w:r>
            <w:r>
              <w:rPr>
                <w:noProof/>
                <w:webHidden/>
              </w:rPr>
              <w:fldChar w:fldCharType="separate"/>
            </w:r>
            <w:r>
              <w:rPr>
                <w:noProof/>
                <w:webHidden/>
              </w:rPr>
              <w:t>15</w:t>
            </w:r>
            <w:r>
              <w:rPr>
                <w:noProof/>
                <w:webHidden/>
              </w:rPr>
              <w:fldChar w:fldCharType="end"/>
            </w:r>
          </w:hyperlink>
        </w:p>
        <w:p w14:paraId="3847EF27" w14:textId="292E2EDE" w:rsidR="0026490B" w:rsidRDefault="0026490B">
          <w:pPr>
            <w:pStyle w:val="TOC2"/>
            <w:tabs>
              <w:tab w:val="right" w:leader="dot" w:pos="9016"/>
            </w:tabs>
            <w:rPr>
              <w:rFonts w:asciiTheme="minorHAnsi" w:eastAsiaTheme="minorEastAsia" w:hAnsiTheme="minorHAnsi"/>
              <w:noProof/>
              <w:kern w:val="2"/>
              <w:sz w:val="24"/>
              <w:szCs w:val="24"/>
              <w:lang w:eastAsia="en-GB"/>
              <w14:ligatures w14:val="standardContextual"/>
            </w:rPr>
          </w:pPr>
          <w:hyperlink w:anchor="_Toc204783831" w:history="1">
            <w:r w:rsidRPr="000B4CEC">
              <w:rPr>
                <w:rStyle w:val="Hyperlink"/>
                <w:noProof/>
              </w:rPr>
              <w:t>Timescales for Patient Safety Learning Responses (PSLRs)</w:t>
            </w:r>
            <w:r>
              <w:rPr>
                <w:noProof/>
                <w:webHidden/>
              </w:rPr>
              <w:tab/>
            </w:r>
            <w:r>
              <w:rPr>
                <w:noProof/>
                <w:webHidden/>
              </w:rPr>
              <w:fldChar w:fldCharType="begin"/>
            </w:r>
            <w:r>
              <w:rPr>
                <w:noProof/>
                <w:webHidden/>
              </w:rPr>
              <w:instrText xml:space="preserve"> PAGEREF _Toc204783831 \h </w:instrText>
            </w:r>
            <w:r>
              <w:rPr>
                <w:noProof/>
                <w:webHidden/>
              </w:rPr>
            </w:r>
            <w:r>
              <w:rPr>
                <w:noProof/>
                <w:webHidden/>
              </w:rPr>
              <w:fldChar w:fldCharType="separate"/>
            </w:r>
            <w:r>
              <w:rPr>
                <w:noProof/>
                <w:webHidden/>
              </w:rPr>
              <w:t>15</w:t>
            </w:r>
            <w:r>
              <w:rPr>
                <w:noProof/>
                <w:webHidden/>
              </w:rPr>
              <w:fldChar w:fldCharType="end"/>
            </w:r>
          </w:hyperlink>
        </w:p>
        <w:p w14:paraId="3AAE7ABE" w14:textId="12D18DFB" w:rsidR="0026490B" w:rsidRDefault="0026490B">
          <w:pPr>
            <w:pStyle w:val="TOC2"/>
            <w:tabs>
              <w:tab w:val="right" w:leader="dot" w:pos="9016"/>
            </w:tabs>
            <w:rPr>
              <w:rFonts w:asciiTheme="minorHAnsi" w:eastAsiaTheme="minorEastAsia" w:hAnsiTheme="minorHAnsi"/>
              <w:noProof/>
              <w:kern w:val="2"/>
              <w:sz w:val="24"/>
              <w:szCs w:val="24"/>
              <w:lang w:eastAsia="en-GB"/>
              <w14:ligatures w14:val="standardContextual"/>
            </w:rPr>
          </w:pPr>
          <w:hyperlink w:anchor="_Toc204783832" w:history="1">
            <w:r w:rsidRPr="000B4CEC">
              <w:rPr>
                <w:rStyle w:val="Hyperlink"/>
                <w:noProof/>
              </w:rPr>
              <w:t>Safety action development and monitoring improvement</w:t>
            </w:r>
            <w:r>
              <w:rPr>
                <w:noProof/>
                <w:webHidden/>
              </w:rPr>
              <w:tab/>
            </w:r>
            <w:r>
              <w:rPr>
                <w:noProof/>
                <w:webHidden/>
              </w:rPr>
              <w:fldChar w:fldCharType="begin"/>
            </w:r>
            <w:r>
              <w:rPr>
                <w:noProof/>
                <w:webHidden/>
              </w:rPr>
              <w:instrText xml:space="preserve"> PAGEREF _Toc204783832 \h </w:instrText>
            </w:r>
            <w:r>
              <w:rPr>
                <w:noProof/>
                <w:webHidden/>
              </w:rPr>
            </w:r>
            <w:r>
              <w:rPr>
                <w:noProof/>
                <w:webHidden/>
              </w:rPr>
              <w:fldChar w:fldCharType="separate"/>
            </w:r>
            <w:r>
              <w:rPr>
                <w:noProof/>
                <w:webHidden/>
              </w:rPr>
              <w:t>15</w:t>
            </w:r>
            <w:r>
              <w:rPr>
                <w:noProof/>
                <w:webHidden/>
              </w:rPr>
              <w:fldChar w:fldCharType="end"/>
            </w:r>
          </w:hyperlink>
        </w:p>
        <w:p w14:paraId="52A7A11D" w14:textId="254F4EA7" w:rsidR="0026490B" w:rsidRDefault="0026490B">
          <w:pPr>
            <w:pStyle w:val="TOC2"/>
            <w:tabs>
              <w:tab w:val="right" w:leader="dot" w:pos="9016"/>
            </w:tabs>
            <w:rPr>
              <w:rFonts w:asciiTheme="minorHAnsi" w:eastAsiaTheme="minorEastAsia" w:hAnsiTheme="minorHAnsi"/>
              <w:noProof/>
              <w:kern w:val="2"/>
              <w:sz w:val="24"/>
              <w:szCs w:val="24"/>
              <w:lang w:eastAsia="en-GB"/>
              <w14:ligatures w14:val="standardContextual"/>
            </w:rPr>
          </w:pPr>
          <w:hyperlink w:anchor="_Toc204783833" w:history="1">
            <w:r w:rsidRPr="000B4CEC">
              <w:rPr>
                <w:rStyle w:val="Hyperlink"/>
                <w:noProof/>
              </w:rPr>
              <w:t>Development of Safety Actions</w:t>
            </w:r>
            <w:r>
              <w:rPr>
                <w:noProof/>
                <w:webHidden/>
              </w:rPr>
              <w:tab/>
            </w:r>
            <w:r>
              <w:rPr>
                <w:noProof/>
                <w:webHidden/>
              </w:rPr>
              <w:fldChar w:fldCharType="begin"/>
            </w:r>
            <w:r>
              <w:rPr>
                <w:noProof/>
                <w:webHidden/>
              </w:rPr>
              <w:instrText xml:space="preserve"> PAGEREF _Toc204783833 \h </w:instrText>
            </w:r>
            <w:r>
              <w:rPr>
                <w:noProof/>
                <w:webHidden/>
              </w:rPr>
            </w:r>
            <w:r>
              <w:rPr>
                <w:noProof/>
                <w:webHidden/>
              </w:rPr>
              <w:fldChar w:fldCharType="separate"/>
            </w:r>
            <w:r>
              <w:rPr>
                <w:noProof/>
                <w:webHidden/>
              </w:rPr>
              <w:t>15</w:t>
            </w:r>
            <w:r>
              <w:rPr>
                <w:noProof/>
                <w:webHidden/>
              </w:rPr>
              <w:fldChar w:fldCharType="end"/>
            </w:r>
          </w:hyperlink>
        </w:p>
        <w:p w14:paraId="03DCCA6D" w14:textId="1C795EE4" w:rsidR="0026490B" w:rsidRDefault="0026490B">
          <w:pPr>
            <w:pStyle w:val="TOC2"/>
            <w:tabs>
              <w:tab w:val="right" w:leader="dot" w:pos="9016"/>
            </w:tabs>
            <w:rPr>
              <w:rFonts w:asciiTheme="minorHAnsi" w:eastAsiaTheme="minorEastAsia" w:hAnsiTheme="minorHAnsi"/>
              <w:noProof/>
              <w:kern w:val="2"/>
              <w:sz w:val="24"/>
              <w:szCs w:val="24"/>
              <w:lang w:eastAsia="en-GB"/>
              <w14:ligatures w14:val="standardContextual"/>
            </w:rPr>
          </w:pPr>
          <w:hyperlink w:anchor="_Toc204783834" w:history="1">
            <w:r w:rsidRPr="000B4CEC">
              <w:rPr>
                <w:rStyle w:val="Hyperlink"/>
                <w:noProof/>
              </w:rPr>
              <w:t>Safety Action Monitoring</w:t>
            </w:r>
            <w:r>
              <w:rPr>
                <w:noProof/>
                <w:webHidden/>
              </w:rPr>
              <w:tab/>
            </w:r>
            <w:r>
              <w:rPr>
                <w:noProof/>
                <w:webHidden/>
              </w:rPr>
              <w:fldChar w:fldCharType="begin"/>
            </w:r>
            <w:r>
              <w:rPr>
                <w:noProof/>
                <w:webHidden/>
              </w:rPr>
              <w:instrText xml:space="preserve"> PAGEREF _Toc204783834 \h </w:instrText>
            </w:r>
            <w:r>
              <w:rPr>
                <w:noProof/>
                <w:webHidden/>
              </w:rPr>
            </w:r>
            <w:r>
              <w:rPr>
                <w:noProof/>
                <w:webHidden/>
              </w:rPr>
              <w:fldChar w:fldCharType="separate"/>
            </w:r>
            <w:r>
              <w:rPr>
                <w:noProof/>
                <w:webHidden/>
              </w:rPr>
              <w:t>16</w:t>
            </w:r>
            <w:r>
              <w:rPr>
                <w:noProof/>
                <w:webHidden/>
              </w:rPr>
              <w:fldChar w:fldCharType="end"/>
            </w:r>
          </w:hyperlink>
        </w:p>
        <w:p w14:paraId="484E78DC" w14:textId="08C0EAA1" w:rsidR="0026490B" w:rsidRDefault="0026490B">
          <w:pPr>
            <w:pStyle w:val="TOC2"/>
            <w:tabs>
              <w:tab w:val="right" w:leader="dot" w:pos="9016"/>
            </w:tabs>
            <w:rPr>
              <w:rFonts w:asciiTheme="minorHAnsi" w:eastAsiaTheme="minorEastAsia" w:hAnsiTheme="minorHAnsi"/>
              <w:noProof/>
              <w:kern w:val="2"/>
              <w:sz w:val="24"/>
              <w:szCs w:val="24"/>
              <w:lang w:eastAsia="en-GB"/>
              <w14:ligatures w14:val="standardContextual"/>
            </w:rPr>
          </w:pPr>
          <w:hyperlink w:anchor="_Toc204783835" w:history="1">
            <w:r w:rsidRPr="000B4CEC">
              <w:rPr>
                <w:rStyle w:val="Hyperlink"/>
                <w:noProof/>
              </w:rPr>
              <w:t>Safety Improvement Plans (Local Priorities)</w:t>
            </w:r>
            <w:r>
              <w:rPr>
                <w:noProof/>
                <w:webHidden/>
              </w:rPr>
              <w:tab/>
            </w:r>
            <w:r>
              <w:rPr>
                <w:noProof/>
                <w:webHidden/>
              </w:rPr>
              <w:fldChar w:fldCharType="begin"/>
            </w:r>
            <w:r>
              <w:rPr>
                <w:noProof/>
                <w:webHidden/>
              </w:rPr>
              <w:instrText xml:space="preserve"> PAGEREF _Toc204783835 \h </w:instrText>
            </w:r>
            <w:r>
              <w:rPr>
                <w:noProof/>
                <w:webHidden/>
              </w:rPr>
            </w:r>
            <w:r>
              <w:rPr>
                <w:noProof/>
                <w:webHidden/>
              </w:rPr>
              <w:fldChar w:fldCharType="separate"/>
            </w:r>
            <w:r>
              <w:rPr>
                <w:noProof/>
                <w:webHidden/>
              </w:rPr>
              <w:t>16</w:t>
            </w:r>
            <w:r>
              <w:rPr>
                <w:noProof/>
                <w:webHidden/>
              </w:rPr>
              <w:fldChar w:fldCharType="end"/>
            </w:r>
          </w:hyperlink>
        </w:p>
        <w:p w14:paraId="057F71C8" w14:textId="543792B5" w:rsidR="0026490B" w:rsidRDefault="0026490B">
          <w:pPr>
            <w:pStyle w:val="TOC2"/>
            <w:tabs>
              <w:tab w:val="right" w:leader="dot" w:pos="9016"/>
            </w:tabs>
            <w:rPr>
              <w:rFonts w:asciiTheme="minorHAnsi" w:eastAsiaTheme="minorEastAsia" w:hAnsiTheme="minorHAnsi"/>
              <w:noProof/>
              <w:kern w:val="2"/>
              <w:sz w:val="24"/>
              <w:szCs w:val="24"/>
              <w:lang w:eastAsia="en-GB"/>
              <w14:ligatures w14:val="standardContextual"/>
            </w:rPr>
          </w:pPr>
          <w:hyperlink w:anchor="_Toc204783836" w:history="1">
            <w:r w:rsidRPr="000B4CEC">
              <w:rPr>
                <w:rStyle w:val="Hyperlink"/>
                <w:noProof/>
              </w:rPr>
              <w:t>Oversight Roles and Responsibilities</w:t>
            </w:r>
            <w:r>
              <w:rPr>
                <w:noProof/>
                <w:webHidden/>
              </w:rPr>
              <w:tab/>
            </w:r>
            <w:r>
              <w:rPr>
                <w:noProof/>
                <w:webHidden/>
              </w:rPr>
              <w:fldChar w:fldCharType="begin"/>
            </w:r>
            <w:r>
              <w:rPr>
                <w:noProof/>
                <w:webHidden/>
              </w:rPr>
              <w:instrText xml:space="preserve"> PAGEREF _Toc204783836 \h </w:instrText>
            </w:r>
            <w:r>
              <w:rPr>
                <w:noProof/>
                <w:webHidden/>
              </w:rPr>
            </w:r>
            <w:r>
              <w:rPr>
                <w:noProof/>
                <w:webHidden/>
              </w:rPr>
              <w:fldChar w:fldCharType="separate"/>
            </w:r>
            <w:r>
              <w:rPr>
                <w:noProof/>
                <w:webHidden/>
              </w:rPr>
              <w:t>16</w:t>
            </w:r>
            <w:r>
              <w:rPr>
                <w:noProof/>
                <w:webHidden/>
              </w:rPr>
              <w:fldChar w:fldCharType="end"/>
            </w:r>
          </w:hyperlink>
        </w:p>
        <w:p w14:paraId="053CC1AD" w14:textId="7E049920" w:rsidR="0026490B" w:rsidRDefault="0026490B">
          <w:pPr>
            <w:pStyle w:val="TOC3"/>
            <w:tabs>
              <w:tab w:val="right" w:leader="dot" w:pos="9016"/>
            </w:tabs>
            <w:rPr>
              <w:rFonts w:asciiTheme="minorHAnsi" w:hAnsiTheme="minorHAnsi"/>
              <w:noProof/>
              <w:kern w:val="2"/>
              <w:sz w:val="24"/>
              <w:szCs w:val="24"/>
              <w:lang w:val="en-GB" w:eastAsia="en-GB"/>
              <w14:ligatures w14:val="standardContextual"/>
            </w:rPr>
          </w:pPr>
          <w:hyperlink w:anchor="_Toc204783837" w:history="1">
            <w:r w:rsidRPr="000B4CEC">
              <w:rPr>
                <w:rStyle w:val="Hyperlink"/>
                <w:noProof/>
              </w:rPr>
              <w:t>Complaints and Appeals process</w:t>
            </w:r>
            <w:r>
              <w:rPr>
                <w:noProof/>
                <w:webHidden/>
              </w:rPr>
              <w:tab/>
            </w:r>
            <w:r>
              <w:rPr>
                <w:noProof/>
                <w:webHidden/>
              </w:rPr>
              <w:fldChar w:fldCharType="begin"/>
            </w:r>
            <w:r>
              <w:rPr>
                <w:noProof/>
                <w:webHidden/>
              </w:rPr>
              <w:instrText xml:space="preserve"> PAGEREF _Toc204783837 \h </w:instrText>
            </w:r>
            <w:r>
              <w:rPr>
                <w:noProof/>
                <w:webHidden/>
              </w:rPr>
            </w:r>
            <w:r>
              <w:rPr>
                <w:noProof/>
                <w:webHidden/>
              </w:rPr>
              <w:fldChar w:fldCharType="separate"/>
            </w:r>
            <w:r>
              <w:rPr>
                <w:noProof/>
                <w:webHidden/>
              </w:rPr>
              <w:t>17</w:t>
            </w:r>
            <w:r>
              <w:rPr>
                <w:noProof/>
                <w:webHidden/>
              </w:rPr>
              <w:fldChar w:fldCharType="end"/>
            </w:r>
          </w:hyperlink>
        </w:p>
        <w:p w14:paraId="06DED049" w14:textId="12D4F113" w:rsidR="0026490B" w:rsidRDefault="0026490B">
          <w:pPr>
            <w:pStyle w:val="TOC2"/>
            <w:tabs>
              <w:tab w:val="right" w:leader="dot" w:pos="9016"/>
            </w:tabs>
            <w:rPr>
              <w:rFonts w:asciiTheme="minorHAnsi" w:eastAsiaTheme="minorEastAsia" w:hAnsiTheme="minorHAnsi"/>
              <w:noProof/>
              <w:kern w:val="2"/>
              <w:sz w:val="24"/>
              <w:szCs w:val="24"/>
              <w:lang w:eastAsia="en-GB"/>
              <w14:ligatures w14:val="standardContextual"/>
            </w:rPr>
          </w:pPr>
          <w:hyperlink w:anchor="_Toc204783838" w:history="1">
            <w:r w:rsidRPr="000B4CEC">
              <w:rPr>
                <w:rStyle w:val="Hyperlink"/>
                <w:noProof/>
              </w:rPr>
              <w:t>References and Further Reading</w:t>
            </w:r>
            <w:r>
              <w:rPr>
                <w:noProof/>
                <w:webHidden/>
              </w:rPr>
              <w:tab/>
            </w:r>
            <w:r>
              <w:rPr>
                <w:noProof/>
                <w:webHidden/>
              </w:rPr>
              <w:fldChar w:fldCharType="begin"/>
            </w:r>
            <w:r>
              <w:rPr>
                <w:noProof/>
                <w:webHidden/>
              </w:rPr>
              <w:instrText xml:space="preserve"> PAGEREF _Toc204783838 \h </w:instrText>
            </w:r>
            <w:r>
              <w:rPr>
                <w:noProof/>
                <w:webHidden/>
              </w:rPr>
            </w:r>
            <w:r>
              <w:rPr>
                <w:noProof/>
                <w:webHidden/>
              </w:rPr>
              <w:fldChar w:fldCharType="separate"/>
            </w:r>
            <w:r>
              <w:rPr>
                <w:noProof/>
                <w:webHidden/>
              </w:rPr>
              <w:t>18</w:t>
            </w:r>
            <w:r>
              <w:rPr>
                <w:noProof/>
                <w:webHidden/>
              </w:rPr>
              <w:fldChar w:fldCharType="end"/>
            </w:r>
          </w:hyperlink>
        </w:p>
        <w:p w14:paraId="394F8DB9" w14:textId="2CE92A1B" w:rsidR="000A5254" w:rsidRPr="004E63E4" w:rsidRDefault="000A5254" w:rsidP="000A5254">
          <w:pPr>
            <w:rPr>
              <w:rFonts w:cs="Arial"/>
              <w:sz w:val="24"/>
              <w:szCs w:val="24"/>
            </w:rPr>
          </w:pPr>
          <w:r w:rsidRPr="004E63E4">
            <w:rPr>
              <w:rFonts w:cs="Arial"/>
              <w:b/>
              <w:bCs/>
              <w:noProof/>
              <w:sz w:val="24"/>
              <w:szCs w:val="24"/>
            </w:rPr>
            <w:fldChar w:fldCharType="end"/>
          </w:r>
        </w:p>
      </w:sdtContent>
    </w:sdt>
    <w:p w14:paraId="1A84764F" w14:textId="5B194949" w:rsidR="00F17175" w:rsidRPr="004E63E4" w:rsidRDefault="00F17175">
      <w:pPr>
        <w:rPr>
          <w:rFonts w:eastAsia="Calibri" w:cs="Arial"/>
          <w:b/>
          <w:color w:val="00B050"/>
          <w:sz w:val="24"/>
          <w:szCs w:val="24"/>
        </w:rPr>
      </w:pPr>
    </w:p>
    <w:p w14:paraId="637C0174" w14:textId="2750B48E" w:rsidR="00AA721F" w:rsidRPr="0026490B" w:rsidRDefault="00AA721F" w:rsidP="00FC3C5A">
      <w:pPr>
        <w:pStyle w:val="Heading2"/>
        <w:rPr>
          <w:sz w:val="22"/>
          <w:szCs w:val="22"/>
        </w:rPr>
      </w:pPr>
      <w:bookmarkStart w:id="0" w:name="_Toc204783812"/>
      <w:bookmarkStart w:id="1" w:name="_Toc106014094"/>
      <w:r w:rsidRPr="0026490B">
        <w:rPr>
          <w:sz w:val="22"/>
          <w:szCs w:val="22"/>
        </w:rPr>
        <w:lastRenderedPageBreak/>
        <w:t>Introduction</w:t>
      </w:r>
      <w:bookmarkEnd w:id="0"/>
    </w:p>
    <w:p w14:paraId="448B30B6" w14:textId="23366870" w:rsidR="00AA721F" w:rsidRPr="00777932" w:rsidRDefault="00AA721F" w:rsidP="00AA721F">
      <w:r w:rsidRPr="00777932">
        <w:t>This policy supports the requirements of NHS England’s Patient Safety Incident Response Framework (PSIRF</w:t>
      </w:r>
      <w:r w:rsidR="00D91352" w:rsidRPr="00777932">
        <w:t>) and</w:t>
      </w:r>
      <w:r w:rsidRPr="00777932">
        <w:t xml:space="preserve"> sets out FCMS</w:t>
      </w:r>
      <w:r w:rsidR="00B21A7E" w:rsidRPr="00777932">
        <w:t xml:space="preserve"> (NW) </w:t>
      </w:r>
      <w:proofErr w:type="spellStart"/>
      <w:r w:rsidR="00B21A7E" w:rsidRPr="00777932">
        <w:t>Ltd’</w:t>
      </w:r>
      <w:r w:rsidRPr="00777932">
        <w:t>s</w:t>
      </w:r>
      <w:proofErr w:type="spellEnd"/>
      <w:r w:rsidR="00B21A7E" w:rsidRPr="00777932">
        <w:t xml:space="preserve"> (FCMS)</w:t>
      </w:r>
      <w:r w:rsidRPr="00777932">
        <w:t xml:space="preserve"> approach to developing and maintaining effective systems and processes for responding to Patient Safety Events, </w:t>
      </w:r>
      <w:r w:rsidR="00D91352" w:rsidRPr="00777932">
        <w:t>to drive the learning and improvement of patient safety culture</w:t>
      </w:r>
      <w:r w:rsidR="000E0A3B" w:rsidRPr="00777932">
        <w:t xml:space="preserve"> across all </w:t>
      </w:r>
      <w:r w:rsidR="00B21A7E" w:rsidRPr="00777932">
        <w:t>FCMS services</w:t>
      </w:r>
      <w:r w:rsidR="00D91352" w:rsidRPr="00777932">
        <w:t xml:space="preserve">. This approach is expected to continually grow and change as FCMS transition and embed PSIRF across </w:t>
      </w:r>
      <w:r w:rsidR="00446F8B" w:rsidRPr="00777932">
        <w:t>the organisation</w:t>
      </w:r>
      <w:r w:rsidR="0016154F" w:rsidRPr="00777932">
        <w:t>, and this policy will be updated regularly to reflect that.</w:t>
      </w:r>
    </w:p>
    <w:p w14:paraId="16FF5327" w14:textId="0F2F0183" w:rsidR="0016154F" w:rsidRPr="00777932" w:rsidRDefault="0016154F" w:rsidP="00AA721F">
      <w:r w:rsidRPr="00777932">
        <w:t>The PSIRF advocates a co-ordinated and data-driven response to Patient Safety Incidents. It embeds patient safety incident response within a wider system of improvement and prompts a significant cultural shift towards systematic patient safety management.</w:t>
      </w:r>
    </w:p>
    <w:p w14:paraId="1F4DBC27" w14:textId="5D8F8B81" w:rsidR="0016154F" w:rsidRPr="00777932" w:rsidRDefault="0016154F" w:rsidP="00AA721F">
      <w:r w:rsidRPr="00777932">
        <w:t>This policy supports the development and maintenance of an effective patient safety incident response system that integrates the four key aims of PSIRF:</w:t>
      </w:r>
    </w:p>
    <w:p w14:paraId="1468F0D2" w14:textId="169B4371" w:rsidR="0016154F" w:rsidRPr="00777932" w:rsidRDefault="0016154F" w:rsidP="0016154F">
      <w:pPr>
        <w:pStyle w:val="ListParagraph"/>
        <w:numPr>
          <w:ilvl w:val="0"/>
          <w:numId w:val="48"/>
        </w:numPr>
      </w:pPr>
      <w:r w:rsidRPr="00777932">
        <w:t>Compassionate engagement and involvement of those affected by patient safety incidents.</w:t>
      </w:r>
    </w:p>
    <w:p w14:paraId="4C1882D2" w14:textId="0C2C6FD9" w:rsidR="0016154F" w:rsidRPr="00777932" w:rsidRDefault="0016154F" w:rsidP="0016154F">
      <w:pPr>
        <w:pStyle w:val="ListParagraph"/>
        <w:numPr>
          <w:ilvl w:val="0"/>
          <w:numId w:val="48"/>
        </w:numPr>
      </w:pPr>
      <w:r w:rsidRPr="00777932">
        <w:t>Application of a range of system-based approaches to learning from patient safety incidents.</w:t>
      </w:r>
    </w:p>
    <w:p w14:paraId="5FE57946" w14:textId="7850C42B" w:rsidR="0016154F" w:rsidRPr="00777932" w:rsidRDefault="0016154F" w:rsidP="0016154F">
      <w:pPr>
        <w:pStyle w:val="ListParagraph"/>
        <w:numPr>
          <w:ilvl w:val="0"/>
          <w:numId w:val="48"/>
        </w:numPr>
      </w:pPr>
      <w:r w:rsidRPr="00777932">
        <w:t>Considered and proportionate responses to patient safety incidents and safety issues.</w:t>
      </w:r>
    </w:p>
    <w:p w14:paraId="267414BF" w14:textId="220684B6" w:rsidR="0016154F" w:rsidRPr="00777932" w:rsidRDefault="0016154F" w:rsidP="0016154F">
      <w:pPr>
        <w:pStyle w:val="ListParagraph"/>
        <w:numPr>
          <w:ilvl w:val="0"/>
          <w:numId w:val="48"/>
        </w:numPr>
      </w:pPr>
      <w:r w:rsidRPr="00777932">
        <w:t>Supportive oversight focused on strengthening response system functioning and improvement.</w:t>
      </w:r>
    </w:p>
    <w:p w14:paraId="40CAC0AB" w14:textId="45F83206" w:rsidR="0016154F" w:rsidRDefault="0016154F" w:rsidP="00151A3C">
      <w:r w:rsidRPr="00777932">
        <w:t xml:space="preserve">PSIRF is not a prescriptive set of rules, defining how incidents should be investigated and responded to. PSIRF is a framework which promotes a movement away from a reactive and bureaucratic approach to patient safety to a more proactive and flexible position, </w:t>
      </w:r>
      <w:r w:rsidR="00DA7D14" w:rsidRPr="00777932">
        <w:t xml:space="preserve">allowing learning response methods to </w:t>
      </w:r>
      <w:r w:rsidR="006A5285" w:rsidRPr="00777932">
        <w:t xml:space="preserve">be tailored to the individual circumstances of incidents, thus </w:t>
      </w:r>
      <w:r w:rsidRPr="00777932">
        <w:t>advancing continuous improvement in both quality and safety.</w:t>
      </w:r>
    </w:p>
    <w:p w14:paraId="4237EB09" w14:textId="3AA0B7AD" w:rsidR="00DD576E" w:rsidRPr="00C76FB2" w:rsidRDefault="00DD576E" w:rsidP="00151A3C">
      <w:pPr>
        <w:rPr>
          <w:i/>
          <w:iCs/>
        </w:rPr>
      </w:pPr>
      <w:r>
        <w:t xml:space="preserve">PSIRF replaces the Serious Incident </w:t>
      </w:r>
      <w:r w:rsidR="00A722E1">
        <w:t>Framework (SIF) 2015, and makes no distinction between patient safety incidents, and serious incidents. As such it removed the serious incident</w:t>
      </w:r>
      <w:r w:rsidR="00C76FB2">
        <w:t xml:space="preserve"> classification and the threshold for it. Instead, PSIRF promotes a proportionate approach to responding to patient safety incidents by ensuring resources allocated to learning are balanced with those needed to deliver improvement.</w:t>
      </w:r>
    </w:p>
    <w:p w14:paraId="15D66457" w14:textId="0D18C349" w:rsidR="00E9385E" w:rsidRPr="0026490B" w:rsidRDefault="004430AF" w:rsidP="00FC3C5A">
      <w:pPr>
        <w:pStyle w:val="Heading2"/>
        <w:rPr>
          <w:b/>
          <w:color w:val="0070C0"/>
          <w:sz w:val="22"/>
          <w:szCs w:val="22"/>
        </w:rPr>
      </w:pPr>
      <w:bookmarkStart w:id="2" w:name="_Toc204783813"/>
      <w:r w:rsidRPr="0026490B">
        <w:rPr>
          <w:color w:val="0070C0"/>
          <w:sz w:val="22"/>
          <w:szCs w:val="22"/>
        </w:rPr>
        <w:t>Purpose</w:t>
      </w:r>
      <w:bookmarkEnd w:id="1"/>
      <w:bookmarkEnd w:id="2"/>
    </w:p>
    <w:p w14:paraId="1239B61B" w14:textId="521B520B" w:rsidR="00372413" w:rsidRPr="00777932" w:rsidRDefault="001A721F" w:rsidP="001A721F">
      <w:r w:rsidRPr="00777932">
        <w:t xml:space="preserve">The purpose of this policy is to set out FCMS’s overarching approach to the Patient Safety Incident Response </w:t>
      </w:r>
      <w:r w:rsidR="00AA721F" w:rsidRPr="00777932">
        <w:t>Framework.</w:t>
      </w:r>
      <w:r w:rsidRPr="00777932">
        <w:t xml:space="preserve"> This policy will describe the key </w:t>
      </w:r>
      <w:r w:rsidR="00F52271" w:rsidRPr="00777932">
        <w:t>values</w:t>
      </w:r>
      <w:r w:rsidRPr="00777932">
        <w:t xml:space="preserve"> associated with PSIRF, the duties and responsibilities of key stakeholders, and will give reference to FCMS’s governance framework and wider strategy for the assurance of patient safety. </w:t>
      </w:r>
    </w:p>
    <w:p w14:paraId="29B702FD" w14:textId="06E6A975" w:rsidR="001A721F" w:rsidRPr="00777932" w:rsidRDefault="001A721F" w:rsidP="001A721F">
      <w:r w:rsidRPr="00777932">
        <w:t>This policy is not intended to be all encompassing</w:t>
      </w:r>
      <w:r w:rsidR="00E14D26" w:rsidRPr="00777932">
        <w:t xml:space="preserve"> and there are several supporting policies, standard operating procedures</w:t>
      </w:r>
      <w:r w:rsidR="00E90DEB" w:rsidRPr="00777932">
        <w:t xml:space="preserve"> (SOPs)</w:t>
      </w:r>
      <w:r w:rsidR="00E14D26" w:rsidRPr="00777932">
        <w:t xml:space="preserve"> and documents which ought to be considered in conjunction with this policy. Please refer to the list of references at the end of this policy for a list of other relevant documents for consideration.</w:t>
      </w:r>
    </w:p>
    <w:p w14:paraId="09C79776" w14:textId="1DEEC44F" w:rsidR="00E14D26" w:rsidRPr="00777932" w:rsidRDefault="00E14D26" w:rsidP="001A721F">
      <w:r w:rsidRPr="00777932">
        <w:t xml:space="preserve">This policy is written with the intention of providing sufficient knowledge </w:t>
      </w:r>
      <w:r w:rsidR="00381190" w:rsidRPr="00777932">
        <w:t>to allow</w:t>
      </w:r>
      <w:r w:rsidRPr="00777932">
        <w:t xml:space="preserve"> people working within the capacity of any role at FCMS </w:t>
      </w:r>
      <w:r w:rsidR="00381190" w:rsidRPr="00777932">
        <w:t>t</w:t>
      </w:r>
      <w:r w:rsidRPr="00777932">
        <w:t>o:</w:t>
      </w:r>
    </w:p>
    <w:p w14:paraId="106C8261" w14:textId="73A0ED91" w:rsidR="00E14D26" w:rsidRPr="00777932" w:rsidRDefault="00E14D26" w:rsidP="00E14D26">
      <w:pPr>
        <w:pStyle w:val="ListParagraph"/>
        <w:numPr>
          <w:ilvl w:val="0"/>
          <w:numId w:val="47"/>
        </w:numPr>
      </w:pPr>
      <w:r w:rsidRPr="00777932">
        <w:lastRenderedPageBreak/>
        <w:t>Have sufficient understanding of the new approach set out by NHS England within the PSIRF.</w:t>
      </w:r>
    </w:p>
    <w:p w14:paraId="1157B222" w14:textId="724E73FF" w:rsidR="00E14D26" w:rsidRPr="00777932" w:rsidRDefault="00E14D26" w:rsidP="00E14D26">
      <w:pPr>
        <w:pStyle w:val="ListParagraph"/>
        <w:numPr>
          <w:ilvl w:val="0"/>
          <w:numId w:val="47"/>
        </w:numPr>
      </w:pPr>
      <w:r w:rsidRPr="00777932">
        <w:t>Receive appropriate training, relative to their role to allow them to appropriately apply the principle</w:t>
      </w:r>
      <w:r w:rsidR="000C50E0" w:rsidRPr="00777932">
        <w:t>s</w:t>
      </w:r>
      <w:r w:rsidRPr="00777932">
        <w:t xml:space="preserve"> of PSIRF to their daily duties and responsibilities. </w:t>
      </w:r>
    </w:p>
    <w:p w14:paraId="7A7317FC" w14:textId="5EFF5DB9" w:rsidR="00E14D26" w:rsidRPr="00777932" w:rsidRDefault="00E14D26" w:rsidP="00E14D26">
      <w:pPr>
        <w:pStyle w:val="ListParagraph"/>
        <w:numPr>
          <w:ilvl w:val="0"/>
          <w:numId w:val="47"/>
        </w:numPr>
      </w:pPr>
      <w:r w:rsidRPr="00777932">
        <w:t>Understand the importance of adhering to FCMS’s PSIRF Policy and Plan.</w:t>
      </w:r>
    </w:p>
    <w:p w14:paraId="04842A76" w14:textId="4DBB3314" w:rsidR="00E14D26" w:rsidRPr="00777932" w:rsidRDefault="00E14D26" w:rsidP="00E14D26">
      <w:pPr>
        <w:pStyle w:val="ListParagraph"/>
        <w:numPr>
          <w:ilvl w:val="0"/>
          <w:numId w:val="47"/>
        </w:numPr>
      </w:pPr>
      <w:r w:rsidRPr="00777932">
        <w:t xml:space="preserve">Report events which relate to patient safety appropriately, regardless of </w:t>
      </w:r>
      <w:r w:rsidR="00E15D95" w:rsidRPr="00777932">
        <w:t>severity of harm caused,</w:t>
      </w:r>
      <w:r w:rsidRPr="00777932">
        <w:t xml:space="preserve"> to allow FCMS to learn from the themes, trends </w:t>
      </w:r>
      <w:r w:rsidR="00E15D95" w:rsidRPr="00777932">
        <w:t xml:space="preserve">and patterns </w:t>
      </w:r>
      <w:r w:rsidRPr="00777932">
        <w:t xml:space="preserve">of patient safety events using </w:t>
      </w:r>
      <w:r w:rsidR="00AA721F" w:rsidRPr="00777932">
        <w:t>systems-based</w:t>
      </w:r>
      <w:r w:rsidRPr="00777932">
        <w:t xml:space="preserve"> analysis to drive quality improvement.</w:t>
      </w:r>
    </w:p>
    <w:p w14:paraId="74BCA114" w14:textId="1AE0F04A" w:rsidR="00E14D26" w:rsidRPr="00777932" w:rsidRDefault="00E14D26" w:rsidP="00E14D26">
      <w:pPr>
        <w:pStyle w:val="ListParagraph"/>
        <w:numPr>
          <w:ilvl w:val="0"/>
          <w:numId w:val="47"/>
        </w:numPr>
      </w:pPr>
      <w:r w:rsidRPr="00777932">
        <w:t xml:space="preserve">Encourage the involvement of patients, families and carers in all patient safety incident response processes </w:t>
      </w:r>
      <w:r w:rsidR="00AA721F" w:rsidRPr="00777932">
        <w:t>to allow for a more meaningful and accurate understanding of events and improvements to take place.</w:t>
      </w:r>
    </w:p>
    <w:p w14:paraId="63B4335F" w14:textId="7190809D" w:rsidR="00880BB6" w:rsidRPr="0026490B" w:rsidRDefault="00FF6700" w:rsidP="00FC3C5A">
      <w:pPr>
        <w:pStyle w:val="Heading2"/>
        <w:rPr>
          <w:sz w:val="22"/>
          <w:szCs w:val="22"/>
        </w:rPr>
      </w:pPr>
      <w:bookmarkStart w:id="3" w:name="_Toc106014095"/>
      <w:bookmarkStart w:id="4" w:name="_Toc204783814"/>
      <w:r w:rsidRPr="0026490B">
        <w:rPr>
          <w:sz w:val="22"/>
          <w:szCs w:val="22"/>
        </w:rPr>
        <w:t>Scope</w:t>
      </w:r>
      <w:bookmarkEnd w:id="3"/>
      <w:bookmarkEnd w:id="4"/>
    </w:p>
    <w:p w14:paraId="128B5C65" w14:textId="016D8F72" w:rsidR="00B52DB9" w:rsidRPr="00152804" w:rsidRDefault="00B52DB9" w:rsidP="00B52DB9">
      <w:r w:rsidRPr="00152804">
        <w:t xml:space="preserve">This policy applies to all FCMS workers, regardless of employment status, and who are performing a role that relates to the provision of clinical services. </w:t>
      </w:r>
    </w:p>
    <w:p w14:paraId="1473DE0E" w14:textId="5531355A" w:rsidR="00B52DB9" w:rsidRDefault="00B52DB9" w:rsidP="00B52DB9">
      <w:r w:rsidRPr="00152804">
        <w:t xml:space="preserve">This policy should be applied to the </w:t>
      </w:r>
      <w:r w:rsidR="004B4119" w:rsidRPr="00152804">
        <w:t>treatment</w:t>
      </w:r>
      <w:r w:rsidRPr="00152804">
        <w:t xml:space="preserve"> of all </w:t>
      </w:r>
      <w:r w:rsidR="003C3FF9" w:rsidRPr="00152804">
        <w:t>p</w:t>
      </w:r>
      <w:r w:rsidR="001F584C" w:rsidRPr="00152804">
        <w:t>atients</w:t>
      </w:r>
      <w:r w:rsidR="004B4119" w:rsidRPr="00152804">
        <w:t xml:space="preserve"> who are receiving care</w:t>
      </w:r>
      <w:r w:rsidR="003C3FF9" w:rsidRPr="00152804">
        <w:t xml:space="preserve"> under the provision of a regulated activity, regardless of the type of service the individual is accessing, the circumstances of their care or the methods of how they access treatment.</w:t>
      </w:r>
    </w:p>
    <w:p w14:paraId="435C9FD1" w14:textId="11EC2723" w:rsidR="00732579" w:rsidRPr="00152804" w:rsidRDefault="00732579" w:rsidP="00B52DB9">
      <w:r>
        <w:t>This policy sets out principles and guidance relating to Patient Safety Incident Responses</w:t>
      </w:r>
      <w:r w:rsidR="00540C8A">
        <w:t xml:space="preserve">. </w:t>
      </w:r>
      <w:r w:rsidR="007E5B83">
        <w:t>Within the Patient Safety Incident Response Framework, NHS England define a Patient Safety Incident as “</w:t>
      </w:r>
      <w:r w:rsidR="00A341D0">
        <w:t>unintended or unexpected events (including omissions) in healthcare that could have or did harm one or more patients.”</w:t>
      </w:r>
    </w:p>
    <w:p w14:paraId="2FC3BEEB" w14:textId="62948782" w:rsidR="003C3FF9" w:rsidRPr="0026490B" w:rsidRDefault="003C3FF9" w:rsidP="00FC3C5A">
      <w:pPr>
        <w:pStyle w:val="Heading2"/>
        <w:rPr>
          <w:sz w:val="22"/>
          <w:szCs w:val="22"/>
        </w:rPr>
      </w:pPr>
      <w:bookmarkStart w:id="5" w:name="_Toc204783815"/>
      <w:bookmarkStart w:id="6" w:name="_Toc106014096"/>
      <w:r w:rsidRPr="0026490B">
        <w:rPr>
          <w:sz w:val="22"/>
          <w:szCs w:val="22"/>
        </w:rPr>
        <w:t>Exclusions</w:t>
      </w:r>
      <w:bookmarkEnd w:id="5"/>
    </w:p>
    <w:p w14:paraId="6138A49E" w14:textId="09A0A9F8" w:rsidR="003C3FF9" w:rsidRPr="00152804" w:rsidRDefault="003C3FF9" w:rsidP="003C3FF9">
      <w:r w:rsidRPr="00152804">
        <w:t>There is no remit under this policy and our approach to patient safety to apportion blame or determine liability, preventability, or cause of death in response</w:t>
      </w:r>
      <w:r w:rsidR="007C1244" w:rsidRPr="00152804">
        <w:t xml:space="preserve"> to patient safety incidents. </w:t>
      </w:r>
      <w:r w:rsidR="00600E5A" w:rsidRPr="00152804">
        <w:t>Responses and reviews are</w:t>
      </w:r>
      <w:r w:rsidRPr="00152804">
        <w:t xml:space="preserve"> conducted for the purpose of learning and improvement. Other processes, such as Claims Handling, Human Resources investigations, pro</w:t>
      </w:r>
      <w:r w:rsidR="000E5A62" w:rsidRPr="00152804">
        <w:t>f</w:t>
      </w:r>
      <w:r w:rsidRPr="00152804">
        <w:t xml:space="preserve">essional standards investigations, </w:t>
      </w:r>
      <w:r w:rsidR="00931603" w:rsidRPr="00152804">
        <w:t>C</w:t>
      </w:r>
      <w:r w:rsidRPr="00152804">
        <w:t>oron</w:t>
      </w:r>
      <w:r w:rsidR="000E5A62" w:rsidRPr="00152804">
        <w:t xml:space="preserve">er’s </w:t>
      </w:r>
      <w:r w:rsidRPr="00152804">
        <w:t>inquests, and criminal investigations, exist for that purpose. The principle aims of each of these responses differ from those of a patient safety response and are outside the scope of this policy.</w:t>
      </w:r>
    </w:p>
    <w:p w14:paraId="1F5581E3" w14:textId="51369043" w:rsidR="00982BE7" w:rsidRPr="00152804" w:rsidRDefault="003C3FF9" w:rsidP="003C3FF9">
      <w:r w:rsidRPr="00152804">
        <w:t>Information from a patient safety response process can be shared with those leading other types of responses</w:t>
      </w:r>
      <w:r w:rsidR="00163F35" w:rsidRPr="00152804">
        <w:t xml:space="preserve"> where appropriate</w:t>
      </w:r>
      <w:r w:rsidR="00EA408C" w:rsidRPr="00152804">
        <w:t xml:space="preserve"> and subject to information sharing legislation</w:t>
      </w:r>
      <w:r w:rsidRPr="00152804">
        <w:t>, but other processes should not influence the remit of a patient safety incident response.</w:t>
      </w:r>
    </w:p>
    <w:p w14:paraId="78C89A9C" w14:textId="3CE9E7C3" w:rsidR="004B2A05" w:rsidRPr="0026490B" w:rsidRDefault="00116B91" w:rsidP="00FC3C5A">
      <w:pPr>
        <w:pStyle w:val="Heading2"/>
        <w:rPr>
          <w:sz w:val="22"/>
          <w:szCs w:val="22"/>
        </w:rPr>
      </w:pPr>
      <w:bookmarkStart w:id="7" w:name="_Toc204783816"/>
      <w:r w:rsidRPr="0026490B">
        <w:rPr>
          <w:sz w:val="22"/>
          <w:szCs w:val="22"/>
        </w:rPr>
        <w:t xml:space="preserve">Our </w:t>
      </w:r>
      <w:r w:rsidR="007D2A89" w:rsidRPr="0026490B">
        <w:rPr>
          <w:sz w:val="22"/>
          <w:szCs w:val="22"/>
        </w:rPr>
        <w:t>P</w:t>
      </w:r>
      <w:r w:rsidRPr="0026490B">
        <w:rPr>
          <w:sz w:val="22"/>
          <w:szCs w:val="22"/>
        </w:rPr>
        <w:t xml:space="preserve">atient </w:t>
      </w:r>
      <w:r w:rsidR="007D2A89" w:rsidRPr="0026490B">
        <w:rPr>
          <w:sz w:val="22"/>
          <w:szCs w:val="22"/>
        </w:rPr>
        <w:t>S</w:t>
      </w:r>
      <w:r w:rsidRPr="0026490B">
        <w:rPr>
          <w:sz w:val="22"/>
          <w:szCs w:val="22"/>
        </w:rPr>
        <w:t xml:space="preserve">afety </w:t>
      </w:r>
      <w:r w:rsidR="007D2A89" w:rsidRPr="0026490B">
        <w:rPr>
          <w:sz w:val="22"/>
          <w:szCs w:val="22"/>
        </w:rPr>
        <w:t>C</w:t>
      </w:r>
      <w:r w:rsidRPr="0026490B">
        <w:rPr>
          <w:sz w:val="22"/>
          <w:szCs w:val="22"/>
        </w:rPr>
        <w:t>ulture</w:t>
      </w:r>
      <w:bookmarkEnd w:id="6"/>
      <w:bookmarkEnd w:id="7"/>
    </w:p>
    <w:p w14:paraId="6A18CB08" w14:textId="65310FF5" w:rsidR="000D67C7" w:rsidRPr="00F116B4" w:rsidRDefault="00D82CBF" w:rsidP="0057628D">
      <w:r w:rsidRPr="00F116B4">
        <w:t xml:space="preserve">FCMS is a Social Enterprise health and wellbeing services provider, and </w:t>
      </w:r>
      <w:r w:rsidR="005B53DA" w:rsidRPr="00F116B4">
        <w:t xml:space="preserve">as an organisation we are passionate in our drive to deliver exceptional care to our patients, who are the central focus of all that we do. </w:t>
      </w:r>
      <w:r w:rsidR="00A96D4C" w:rsidRPr="00F116B4">
        <w:t>Our organisational “why?” is to nurture an environment of inspiration, innovation and disruption so that the people within our worl</w:t>
      </w:r>
      <w:r w:rsidR="00704307" w:rsidRPr="00F116B4">
        <w:t>d</w:t>
      </w:r>
      <w:r w:rsidR="00A96D4C" w:rsidRPr="00F116B4">
        <w:t xml:space="preserve"> receive exceptional care for this generation and the next. </w:t>
      </w:r>
    </w:p>
    <w:p w14:paraId="7952B1CE" w14:textId="2956FE2D" w:rsidR="00A96D4C" w:rsidRPr="00F116B4" w:rsidRDefault="00A96D4C" w:rsidP="0057628D">
      <w:r w:rsidRPr="00F116B4">
        <w:t xml:space="preserve">FCMS recognise that </w:t>
      </w:r>
      <w:r w:rsidR="0073598D" w:rsidRPr="00F116B4">
        <w:t xml:space="preserve">Patient Safety </w:t>
      </w:r>
      <w:r w:rsidR="001345BE" w:rsidRPr="00F116B4">
        <w:t>is intrinsically linked to our success in achieving our org</w:t>
      </w:r>
      <w:r w:rsidR="009A0C9A" w:rsidRPr="00F116B4">
        <w:t>anisational why and our company vision</w:t>
      </w:r>
      <w:r w:rsidR="00E11CB2" w:rsidRPr="00F116B4">
        <w:t xml:space="preserve">, </w:t>
      </w:r>
      <w:r w:rsidR="009A0C9A" w:rsidRPr="00F116B4">
        <w:t>values</w:t>
      </w:r>
      <w:r w:rsidR="00E11CB2" w:rsidRPr="00F116B4">
        <w:t xml:space="preserve"> and goals</w:t>
      </w:r>
      <w:r w:rsidR="009A0C9A" w:rsidRPr="00F116B4">
        <w:t xml:space="preserve">. </w:t>
      </w:r>
    </w:p>
    <w:p w14:paraId="542D66A6" w14:textId="01648F85" w:rsidR="00227BD9" w:rsidRPr="00F116B4" w:rsidRDefault="00227BD9" w:rsidP="0057628D">
      <w:r w:rsidRPr="00F116B4">
        <w:lastRenderedPageBreak/>
        <w:t xml:space="preserve">FCMS </w:t>
      </w:r>
      <w:r w:rsidR="008B170E" w:rsidRPr="00F116B4">
        <w:t>is</w:t>
      </w:r>
      <w:r w:rsidRPr="00F116B4">
        <w:t xml:space="preserve"> committed to developing a patient safety culture </w:t>
      </w:r>
      <w:r w:rsidR="00E82986" w:rsidRPr="00F116B4">
        <w:t xml:space="preserve">that invokes trust not only from patients, families and carers, but also </w:t>
      </w:r>
      <w:r w:rsidR="00ED1203" w:rsidRPr="00F116B4">
        <w:t xml:space="preserve">from our staff. It is vital that staff working at FCMS have faith and confidence that FCMS are driven to </w:t>
      </w:r>
      <w:r w:rsidR="0002541B" w:rsidRPr="00F116B4">
        <w:t xml:space="preserve">embed a culture of positivity, pro-activity and </w:t>
      </w:r>
      <w:r w:rsidR="00E566EB" w:rsidRPr="00F116B4">
        <w:t>psychological safety</w:t>
      </w:r>
      <w:r w:rsidR="002B6FAD" w:rsidRPr="00F116B4">
        <w:t xml:space="preserve"> when it comes to </w:t>
      </w:r>
      <w:r w:rsidR="00E566EB" w:rsidRPr="00F116B4">
        <w:t>patient safety events and learning response methods.</w:t>
      </w:r>
    </w:p>
    <w:p w14:paraId="6B5878D6" w14:textId="6F1E9283" w:rsidR="00E566EB" w:rsidRDefault="000D67C7" w:rsidP="00E566EB">
      <w:pPr>
        <w:pStyle w:val="Heading3"/>
      </w:pPr>
      <w:bookmarkStart w:id="8" w:name="_Toc204783817"/>
      <w:r>
        <w:t xml:space="preserve">Promotion </w:t>
      </w:r>
      <w:r w:rsidR="001C4EE6">
        <w:t xml:space="preserve">and Development </w:t>
      </w:r>
      <w:r>
        <w:t>of Just Culture</w:t>
      </w:r>
      <w:bookmarkEnd w:id="8"/>
    </w:p>
    <w:p w14:paraId="03A23820" w14:textId="6F0DCE3F" w:rsidR="00BA6215" w:rsidRPr="00F116B4" w:rsidRDefault="00D24E67" w:rsidP="00BA6215">
      <w:r w:rsidRPr="00F116B4">
        <w:t>All staff at FCMS must be treated</w:t>
      </w:r>
      <w:r w:rsidR="001A19E3" w:rsidRPr="00F116B4">
        <w:t xml:space="preserve"> in a consistent, constructive and fair way. </w:t>
      </w:r>
    </w:p>
    <w:p w14:paraId="7D8E8F38" w14:textId="3A2AC295" w:rsidR="0041521E" w:rsidRDefault="0041521E" w:rsidP="00BA6215">
      <w:r w:rsidRPr="00F116B4">
        <w:t xml:space="preserve">In June 2018, the Professor Sir Norman Williams’s Review into Gross Negligence Manslaughter in Healthcare report </w:t>
      </w:r>
      <w:r w:rsidR="00F116B4" w:rsidRPr="00F116B4">
        <w:t>stated,</w:t>
      </w:r>
      <w:r w:rsidRPr="00F116B4">
        <w:t xml:space="preserve"> ‘A just culture considers wider systemic issues where things go wrong, enabling professionals and those operating the system to learn without fear of retribution’. The report goes on to say ‘‘…generally in a just culture inadvertent human error, freely admitted, is not normally subject to sanction to encourage reporting of safety issues. In a just culture investigators principally attempt to understand why failings occurred and how the system led to sub-optimal behaviours. </w:t>
      </w:r>
      <w:r w:rsidR="00817CA7" w:rsidRPr="00F116B4">
        <w:t>However,</w:t>
      </w:r>
      <w:r w:rsidRPr="00F116B4">
        <w:t xml:space="preserve"> a just culture also holds people appropriately to account where there is evidence of gross negligence or deliberate </w:t>
      </w:r>
      <w:proofErr w:type="gramStart"/>
      <w:r w:rsidRPr="00F116B4">
        <w:t>acts’</w:t>
      </w:r>
      <w:proofErr w:type="gramEnd"/>
      <w:r w:rsidRPr="00F116B4">
        <w:t>.</w:t>
      </w:r>
    </w:p>
    <w:p w14:paraId="2E3B1D36" w14:textId="368CEAD5" w:rsidR="007E59EE" w:rsidRDefault="007E59EE" w:rsidP="00BA6215">
      <w:r>
        <w:t xml:space="preserve">FCMS </w:t>
      </w:r>
      <w:r w:rsidR="00475A1C">
        <w:t xml:space="preserve">take the position that it is extremely rare </w:t>
      </w:r>
      <w:r w:rsidR="003A5EE0">
        <w:t xml:space="preserve">that a person comes to work, to purposely underperform or make a mistake. </w:t>
      </w:r>
      <w:r w:rsidR="00071C9F">
        <w:t xml:space="preserve">We recognise that our staff are at the centre of our work </w:t>
      </w:r>
      <w:proofErr w:type="gramStart"/>
      <w:r w:rsidR="00071C9F">
        <w:t>system, and</w:t>
      </w:r>
      <w:proofErr w:type="gramEnd"/>
      <w:r w:rsidR="00071C9F">
        <w:t xml:space="preserve"> can be influenced by </w:t>
      </w:r>
      <w:proofErr w:type="gramStart"/>
      <w:r w:rsidR="00071C9F">
        <w:t>a number of</w:t>
      </w:r>
      <w:proofErr w:type="gramEnd"/>
      <w:r w:rsidR="00071C9F">
        <w:t xml:space="preserve"> </w:t>
      </w:r>
      <w:r w:rsidR="00875387">
        <w:t xml:space="preserve">internal and external factors that </w:t>
      </w:r>
      <w:r w:rsidR="009C3403">
        <w:t xml:space="preserve">can contribute to </w:t>
      </w:r>
      <w:r w:rsidR="00930550">
        <w:t>the occurrence of patient safety events.</w:t>
      </w:r>
    </w:p>
    <w:p w14:paraId="0FD7A53B" w14:textId="7B9FE1E5" w:rsidR="00930550" w:rsidRDefault="00616032" w:rsidP="00BA6215">
      <w:r>
        <w:t>FCMS’s standpoint aligns with Professor James Reason’s definition of Just Culture</w:t>
      </w:r>
      <w:r w:rsidR="003F3AF2">
        <w:t>: “an atmosphere of trust in which people are encouraged, even rewarded, for providing essential safety-related information, but in which they are also clear about where the line must be drawn between unacceptable behaviour.”</w:t>
      </w:r>
    </w:p>
    <w:p w14:paraId="364A3702" w14:textId="36623F53" w:rsidR="00BC2620" w:rsidRDefault="00BC2620" w:rsidP="00BA6215">
      <w:r>
        <w:t>FCMS are promoting and developing a Just Culture by:</w:t>
      </w:r>
    </w:p>
    <w:p w14:paraId="6F077327" w14:textId="63E0C860" w:rsidR="00BC2620" w:rsidRDefault="00BC2620" w:rsidP="00BC2620">
      <w:pPr>
        <w:pStyle w:val="ListParagraph"/>
        <w:numPr>
          <w:ilvl w:val="0"/>
          <w:numId w:val="49"/>
        </w:numPr>
      </w:pPr>
      <w:r>
        <w:t xml:space="preserve">Utilising a systems-based approach to learning from Patient Safety </w:t>
      </w:r>
      <w:r w:rsidR="0049671A">
        <w:t>Incidents and Complaints.</w:t>
      </w:r>
    </w:p>
    <w:p w14:paraId="17A10091" w14:textId="4319ED07" w:rsidR="0049671A" w:rsidRDefault="0049671A" w:rsidP="00BC2620">
      <w:pPr>
        <w:pStyle w:val="ListParagraph"/>
        <w:numPr>
          <w:ilvl w:val="0"/>
          <w:numId w:val="49"/>
        </w:numPr>
      </w:pPr>
      <w:r>
        <w:t>Moving away from the requesting of written statements</w:t>
      </w:r>
      <w:r w:rsidR="001D3A15">
        <w:t xml:space="preserve"> or reflections</w:t>
      </w:r>
      <w:r>
        <w:t xml:space="preserve"> </w:t>
      </w:r>
      <w:r w:rsidR="001D3A15">
        <w:t xml:space="preserve">as </w:t>
      </w:r>
      <w:r>
        <w:t xml:space="preserve">staff contributions into </w:t>
      </w:r>
      <w:r w:rsidR="005F2C4B">
        <w:t>learning response methods, and instead encouraging staff attendance at A</w:t>
      </w:r>
      <w:r w:rsidR="00D95BCA">
        <w:t xml:space="preserve">fter Action Reviews, PSIRF Multi-Disciplinary Team meetings, and Swarm </w:t>
      </w:r>
      <w:r w:rsidR="009B119C">
        <w:t>H</w:t>
      </w:r>
      <w:r w:rsidR="00D95BCA">
        <w:t xml:space="preserve">uddles. </w:t>
      </w:r>
    </w:p>
    <w:p w14:paraId="7C53D6DC" w14:textId="6691005C" w:rsidR="00861101" w:rsidRDefault="00861101" w:rsidP="00BC2620">
      <w:pPr>
        <w:pStyle w:val="ListParagraph"/>
        <w:numPr>
          <w:ilvl w:val="0"/>
          <w:numId w:val="49"/>
        </w:numPr>
      </w:pPr>
      <w:r>
        <w:t xml:space="preserve">Where staff are unable to attend meetings as a learning response method to a patient safety event, </w:t>
      </w:r>
      <w:r w:rsidR="00533838">
        <w:t xml:space="preserve">the event is discussed in person with a line manager or clinical manager in an informal setting, unless there are </w:t>
      </w:r>
      <w:r w:rsidR="0064315E">
        <w:t>professional capability concerns.</w:t>
      </w:r>
    </w:p>
    <w:p w14:paraId="52E4319A" w14:textId="6F7DB49E" w:rsidR="000B71AB" w:rsidRDefault="000B71AB" w:rsidP="00EE29D3">
      <w:pPr>
        <w:pStyle w:val="ListParagraph"/>
        <w:numPr>
          <w:ilvl w:val="0"/>
          <w:numId w:val="49"/>
        </w:numPr>
      </w:pPr>
      <w:r>
        <w:t>Learnings</w:t>
      </w:r>
      <w:r w:rsidR="0064315E">
        <w:t xml:space="preserve"> and </w:t>
      </w:r>
      <w:r>
        <w:t>quality improvement actions</w:t>
      </w:r>
      <w:r w:rsidR="0064315E">
        <w:t xml:space="preserve"> are shared within </w:t>
      </w:r>
      <w:r w:rsidR="001D74C3">
        <w:t xml:space="preserve">FCMS’s </w:t>
      </w:r>
      <w:r w:rsidR="0064315E">
        <w:t>Patient Safety Group</w:t>
      </w:r>
      <w:r>
        <w:t xml:space="preserve"> which is </w:t>
      </w:r>
      <w:r w:rsidR="00367AA6">
        <w:t>a</w:t>
      </w:r>
      <w:r>
        <w:t xml:space="preserve"> </w:t>
      </w:r>
      <w:r w:rsidR="001D74C3">
        <w:t>group meeting</w:t>
      </w:r>
      <w:r>
        <w:t xml:space="preserve"> </w:t>
      </w:r>
      <w:r w:rsidR="00367AA6">
        <w:t xml:space="preserve">inclusive of </w:t>
      </w:r>
      <w:proofErr w:type="gramStart"/>
      <w:r w:rsidR="00367AA6">
        <w:t>all of</w:t>
      </w:r>
      <w:proofErr w:type="gramEnd"/>
      <w:r w:rsidR="00367AA6">
        <w:t xml:space="preserve"> our services, and </w:t>
      </w:r>
      <w:r w:rsidR="00677112">
        <w:t xml:space="preserve">both operational and clinical </w:t>
      </w:r>
      <w:r w:rsidR="00367AA6">
        <w:t>key leaders</w:t>
      </w:r>
      <w:r w:rsidR="00677112">
        <w:t xml:space="preserve"> </w:t>
      </w:r>
      <w:r>
        <w:t>to ensure shared learning, and consistent approaches to patient safety events</w:t>
      </w:r>
      <w:r w:rsidR="007678E6">
        <w:t xml:space="preserve"> across the organisation</w:t>
      </w:r>
      <w:r>
        <w:t>.</w:t>
      </w:r>
      <w:r w:rsidR="00EE29D3">
        <w:t xml:space="preserve"> </w:t>
      </w:r>
      <w:r w:rsidR="000C13A6">
        <w:t>This includes</w:t>
      </w:r>
      <w:r w:rsidR="00EE29D3">
        <w:t xml:space="preserve"> all </w:t>
      </w:r>
      <w:r w:rsidR="007678E6">
        <w:t>lessons learned</w:t>
      </w:r>
      <w:r w:rsidR="00EE29D3">
        <w:t>,</w:t>
      </w:r>
      <w:r w:rsidR="007678E6">
        <w:t xml:space="preserve"> and quality improvement plans being shared</w:t>
      </w:r>
      <w:r w:rsidR="001E3D80">
        <w:t xml:space="preserve"> for all patient safety events</w:t>
      </w:r>
      <w:r w:rsidR="00EE29D3">
        <w:t xml:space="preserve"> and </w:t>
      </w:r>
      <w:r w:rsidR="001E3D80">
        <w:t>a formal review of all</w:t>
      </w:r>
      <w:r w:rsidR="00EE29D3">
        <w:t xml:space="preserve"> Patient Safety Incident Investigations (PSII</w:t>
      </w:r>
      <w:r w:rsidR="000C13A6">
        <w:t xml:space="preserve">) reports </w:t>
      </w:r>
      <w:r w:rsidR="001E3D80">
        <w:t xml:space="preserve">including </w:t>
      </w:r>
      <w:r w:rsidR="000C13A6">
        <w:t>evalua</w:t>
      </w:r>
      <w:r w:rsidR="001E3D80">
        <w:t>tion</w:t>
      </w:r>
      <w:r w:rsidR="000C13A6">
        <w:t xml:space="preserve"> and approv</w:t>
      </w:r>
      <w:r w:rsidR="001E3D80">
        <w:t>al</w:t>
      </w:r>
      <w:r w:rsidR="00A541D0">
        <w:t>.</w:t>
      </w:r>
    </w:p>
    <w:p w14:paraId="445EFBBC" w14:textId="26B41E56" w:rsidR="00325514" w:rsidRDefault="00325514" w:rsidP="00EE29D3">
      <w:pPr>
        <w:pStyle w:val="ListParagraph"/>
        <w:numPr>
          <w:ilvl w:val="0"/>
          <w:numId w:val="49"/>
        </w:numPr>
      </w:pPr>
      <w:r>
        <w:lastRenderedPageBreak/>
        <w:t xml:space="preserve">When deciding on action plans arising from </w:t>
      </w:r>
      <w:r w:rsidR="00C474BC">
        <w:t>patient safety events, staff involved in the incident are</w:t>
      </w:r>
      <w:r w:rsidR="00574323">
        <w:t xml:space="preserve"> encouraged to feedback honestly and </w:t>
      </w:r>
      <w:r w:rsidR="00AC1AC8">
        <w:t>challenge</w:t>
      </w:r>
      <w:r w:rsidR="00014299">
        <w:t xml:space="preserve"> is welcomed, by</w:t>
      </w:r>
      <w:r w:rsidR="00C474BC">
        <w:t xml:space="preserve"> ask</w:t>
      </w:r>
      <w:r w:rsidR="00014299">
        <w:t>ing</w:t>
      </w:r>
      <w:r w:rsidR="00C474BC">
        <w:t xml:space="preserve"> what </w:t>
      </w:r>
      <w:r w:rsidR="00574323">
        <w:t xml:space="preserve">would be beneficial to them </w:t>
      </w:r>
      <w:r w:rsidR="00014299">
        <w:t xml:space="preserve">and </w:t>
      </w:r>
      <w:r w:rsidR="00A672CE">
        <w:t xml:space="preserve">would </w:t>
      </w:r>
      <w:r w:rsidR="00014299">
        <w:t>help them to fulfil the duties of their role</w:t>
      </w:r>
      <w:r w:rsidR="00A672CE">
        <w:t xml:space="preserve">, to avoid recurrence of </w:t>
      </w:r>
      <w:r w:rsidR="00AC1AC8">
        <w:t>patient safety events.</w:t>
      </w:r>
    </w:p>
    <w:p w14:paraId="1CF80359" w14:textId="77777777" w:rsidR="00FA0860" w:rsidRDefault="00FA0860" w:rsidP="00FA0860">
      <w:pPr>
        <w:pStyle w:val="Heading3"/>
      </w:pPr>
      <w:bookmarkStart w:id="9" w:name="_Toc204783818"/>
      <w:r>
        <w:t>Supporting Open and Transparent Reporting</w:t>
      </w:r>
      <w:bookmarkEnd w:id="9"/>
      <w:r>
        <w:t xml:space="preserve"> </w:t>
      </w:r>
    </w:p>
    <w:p w14:paraId="31EBF918" w14:textId="46287D27" w:rsidR="00FA0860" w:rsidRDefault="00FB4C1E" w:rsidP="00FA0860">
      <w:r>
        <w:t xml:space="preserve">FCMS have </w:t>
      </w:r>
      <w:r w:rsidR="000C06B2">
        <w:t xml:space="preserve">reviewed our methods, processes and resources relating to incident reporting. It was recognised as part of the review that we could improve </w:t>
      </w:r>
      <w:r w:rsidR="00707C36">
        <w:t>reporting, to enable this to become more open and transparent</w:t>
      </w:r>
      <w:r w:rsidR="00551D1B">
        <w:t xml:space="preserve">. </w:t>
      </w:r>
      <w:r w:rsidR="008A5971">
        <w:t>Specifically</w:t>
      </w:r>
      <w:r w:rsidR="00FF18D6">
        <w:t>, the following was identified:</w:t>
      </w:r>
    </w:p>
    <w:p w14:paraId="42485FD8" w14:textId="5BC1BB44" w:rsidR="00FF18D6" w:rsidRDefault="00FF18D6" w:rsidP="00FF18D6">
      <w:pPr>
        <w:pStyle w:val="ListParagraph"/>
        <w:numPr>
          <w:ilvl w:val="0"/>
          <w:numId w:val="51"/>
        </w:numPr>
      </w:pPr>
      <w:r>
        <w:t xml:space="preserve">Access to the incident reporting system was limited and could be improved by extending the number of persons with </w:t>
      </w:r>
      <w:r w:rsidR="00C44D1A">
        <w:t xml:space="preserve">access to report </w:t>
      </w:r>
      <w:r w:rsidR="008609D6">
        <w:t>incidents.</w:t>
      </w:r>
    </w:p>
    <w:p w14:paraId="0BA78091" w14:textId="75FBD198" w:rsidR="00C44D1A" w:rsidRDefault="00C44D1A" w:rsidP="00FF18D6">
      <w:pPr>
        <w:pStyle w:val="ListParagraph"/>
        <w:numPr>
          <w:ilvl w:val="0"/>
          <w:numId w:val="51"/>
        </w:numPr>
      </w:pPr>
      <w:r>
        <w:t xml:space="preserve">The data captured within the incident reporting system can be limited or have poor quality due to a lack of understanding </w:t>
      </w:r>
      <w:r w:rsidR="008219F3">
        <w:t xml:space="preserve">of expectations and the information that is required to submit </w:t>
      </w:r>
      <w:r w:rsidR="008609D6">
        <w:t>incidents.</w:t>
      </w:r>
    </w:p>
    <w:p w14:paraId="199BD5CC" w14:textId="0A97B61A" w:rsidR="008219F3" w:rsidRDefault="008219F3" w:rsidP="00FF18D6">
      <w:pPr>
        <w:pStyle w:val="ListParagraph"/>
        <w:numPr>
          <w:ilvl w:val="0"/>
          <w:numId w:val="51"/>
        </w:numPr>
      </w:pPr>
      <w:r>
        <w:t xml:space="preserve">The system could be improved with amendments made to </w:t>
      </w:r>
      <w:r w:rsidR="008609D6">
        <w:t>forms to enable fields to become more counterintuitive and specific to FCMS.</w:t>
      </w:r>
    </w:p>
    <w:p w14:paraId="05349709" w14:textId="6053F5EC" w:rsidR="008609D6" w:rsidRPr="00F116B4" w:rsidRDefault="008A5971" w:rsidP="008609D6">
      <w:r>
        <w:t xml:space="preserve">FCMS are </w:t>
      </w:r>
      <w:r w:rsidR="0033431B">
        <w:t xml:space="preserve">placing focus on data quality, and open and transparent reporting </w:t>
      </w:r>
      <w:r w:rsidR="00234151">
        <w:t>and improvements are underway, as detailed below.</w:t>
      </w:r>
    </w:p>
    <w:p w14:paraId="5DBB1F78" w14:textId="77777777" w:rsidR="000D67C7" w:rsidRDefault="000D67C7" w:rsidP="001C4EE6">
      <w:pPr>
        <w:pStyle w:val="Heading3"/>
      </w:pPr>
      <w:bookmarkStart w:id="10" w:name="_Toc204783819"/>
      <w:r>
        <w:t>Improvements in Patient Safety Culture</w:t>
      </w:r>
      <w:bookmarkEnd w:id="10"/>
    </w:p>
    <w:p w14:paraId="63197429" w14:textId="769F7321" w:rsidR="007E2A8B" w:rsidRDefault="00656AA0" w:rsidP="00FF6C8F">
      <w:r>
        <w:t xml:space="preserve">The Patient Safety Culture at FCMS continues to improve and develop. The preparation stages of PSIRF planning and implementation enabled FCMS to identify and highlight </w:t>
      </w:r>
      <w:r w:rsidR="00073D31">
        <w:t xml:space="preserve">areas that require development to in turn improve our overall Patient Safety Culture. Ongoing </w:t>
      </w:r>
      <w:r w:rsidR="007E2A8B">
        <w:t>projects of quality improvement relating to Patient Safety Culture include, but are not limited to:</w:t>
      </w:r>
    </w:p>
    <w:p w14:paraId="4397735F" w14:textId="51C8A373" w:rsidR="007E2A8B" w:rsidRDefault="007E2A8B" w:rsidP="007E2A8B">
      <w:pPr>
        <w:pStyle w:val="ListParagraph"/>
        <w:numPr>
          <w:ilvl w:val="0"/>
          <w:numId w:val="50"/>
        </w:numPr>
      </w:pPr>
      <w:r>
        <w:t xml:space="preserve">The development and roll out of </w:t>
      </w:r>
      <w:r w:rsidR="00E95B8C">
        <w:t>personalised FCMS PSIRF training for all managers who may fulfil the role of a patient safety inves</w:t>
      </w:r>
      <w:r w:rsidR="00E94E74">
        <w:t>tigator, in addition to</w:t>
      </w:r>
      <w:r w:rsidR="004713C3">
        <w:t xml:space="preserve"> the mandatory</w:t>
      </w:r>
      <w:r w:rsidR="00E94E74">
        <w:t xml:space="preserve"> Level 2 Patient Safety training provided by HSSIB. The internal training is </w:t>
      </w:r>
      <w:r w:rsidR="009E05B0">
        <w:t>in-person training which lasts 1 day at a time and refreshers are held regularly for continuous learning and improvement.</w:t>
      </w:r>
    </w:p>
    <w:p w14:paraId="1A68F262" w14:textId="654FD1E0" w:rsidR="009E05B0" w:rsidRDefault="009E05B0" w:rsidP="007E2A8B">
      <w:pPr>
        <w:pStyle w:val="ListParagraph"/>
        <w:numPr>
          <w:ilvl w:val="0"/>
          <w:numId w:val="50"/>
        </w:numPr>
      </w:pPr>
      <w:r>
        <w:t>The</w:t>
      </w:r>
      <w:r w:rsidR="00162D64">
        <w:t xml:space="preserve"> </w:t>
      </w:r>
      <w:r w:rsidR="00BE0B2A">
        <w:t xml:space="preserve">introduction and </w:t>
      </w:r>
      <w:r w:rsidR="00162D64">
        <w:t xml:space="preserve">development of Patient Safety Group </w:t>
      </w:r>
      <w:r w:rsidR="00BE0B2A">
        <w:t>meetings</w:t>
      </w:r>
      <w:r w:rsidR="00162D64">
        <w:t xml:space="preserve"> which act</w:t>
      </w:r>
      <w:r w:rsidR="00BE0B2A">
        <w:t xml:space="preserve"> </w:t>
      </w:r>
      <w:r w:rsidR="00162D64">
        <w:t xml:space="preserve">as the lead assurance group for PSIRF implementation and patient safety learnings and </w:t>
      </w:r>
      <w:r w:rsidR="001A2F10">
        <w:t>actions.</w:t>
      </w:r>
    </w:p>
    <w:p w14:paraId="5BF3549F" w14:textId="026668D5" w:rsidR="001A2F10" w:rsidRDefault="001A2F10" w:rsidP="007E2A8B">
      <w:pPr>
        <w:pStyle w:val="ListParagraph"/>
        <w:numPr>
          <w:ilvl w:val="0"/>
          <w:numId w:val="50"/>
        </w:numPr>
      </w:pPr>
      <w:r>
        <w:t>The</w:t>
      </w:r>
      <w:r w:rsidR="00BE0B2A">
        <w:t xml:space="preserve"> introduction and</w:t>
      </w:r>
      <w:r>
        <w:t xml:space="preserve"> development of Clinical Effectiveness Group </w:t>
      </w:r>
      <w:r w:rsidR="00BE0B2A">
        <w:t>meetings</w:t>
      </w:r>
      <w:r>
        <w:t xml:space="preserve"> which acts as the lead clinical assurance for changes and amendments to clinical process and practice arisi</w:t>
      </w:r>
      <w:r w:rsidR="00616169">
        <w:t xml:space="preserve">ng </w:t>
      </w:r>
      <w:r w:rsidR="006F3119">
        <w:t>from patient safety event reviews and learning outcomes.</w:t>
      </w:r>
    </w:p>
    <w:p w14:paraId="1BB9D348" w14:textId="091C06B9" w:rsidR="006F3119" w:rsidRDefault="001430A6" w:rsidP="007E2A8B">
      <w:pPr>
        <w:pStyle w:val="ListParagraph"/>
        <w:numPr>
          <w:ilvl w:val="0"/>
          <w:numId w:val="50"/>
        </w:numPr>
      </w:pPr>
      <w:r>
        <w:t xml:space="preserve">A review of our audit program to ensure that patient safety is effectively audited as part of our existing audit </w:t>
      </w:r>
      <w:r w:rsidR="00094A8A">
        <w:t>pathways and processes.</w:t>
      </w:r>
    </w:p>
    <w:p w14:paraId="7F1FEF5E" w14:textId="4E003E21" w:rsidR="006F3119" w:rsidRDefault="00C73918" w:rsidP="007E2A8B">
      <w:pPr>
        <w:pStyle w:val="ListParagraph"/>
        <w:numPr>
          <w:ilvl w:val="0"/>
          <w:numId w:val="50"/>
        </w:numPr>
      </w:pPr>
      <w:r>
        <w:t>Organisation-wide sharing of a quarterly Patient Safety Bulletin.</w:t>
      </w:r>
    </w:p>
    <w:p w14:paraId="43DB76C1" w14:textId="1C81874F" w:rsidR="00C73918" w:rsidRDefault="00023D91" w:rsidP="007E2A8B">
      <w:pPr>
        <w:pStyle w:val="ListParagraph"/>
        <w:numPr>
          <w:ilvl w:val="0"/>
          <w:numId w:val="50"/>
        </w:numPr>
      </w:pPr>
      <w:r>
        <w:t xml:space="preserve">Focused improvements on Duty of Candour </w:t>
      </w:r>
      <w:r w:rsidR="008A14A7">
        <w:t xml:space="preserve">internal resources including amendment of FCMS’s Duty of Candour Policy and production of </w:t>
      </w:r>
      <w:r w:rsidR="007A2306">
        <w:t>standardised company</w:t>
      </w:r>
      <w:r w:rsidR="004B0225">
        <w:t>-</w:t>
      </w:r>
      <w:r w:rsidR="007A2306">
        <w:t>wide templates and tools to support the delivery of Duty of Candour</w:t>
      </w:r>
      <w:r w:rsidR="004B0225">
        <w:t xml:space="preserve"> across the organisation</w:t>
      </w:r>
      <w:r w:rsidR="008A14A7">
        <w:t>.</w:t>
      </w:r>
    </w:p>
    <w:p w14:paraId="11D0A364" w14:textId="4C8847AC" w:rsidR="002644C1" w:rsidRDefault="002644C1" w:rsidP="007E2A8B">
      <w:pPr>
        <w:pStyle w:val="ListParagraph"/>
        <w:numPr>
          <w:ilvl w:val="0"/>
          <w:numId w:val="50"/>
        </w:numPr>
      </w:pPr>
      <w:r>
        <w:t>Appointment of a Head of Clinical Governance, a new role for FCMS.</w:t>
      </w:r>
    </w:p>
    <w:p w14:paraId="4469A722" w14:textId="19A52325" w:rsidR="001C3FD2" w:rsidRDefault="001C3FD2" w:rsidP="007E2A8B">
      <w:pPr>
        <w:pStyle w:val="ListParagraph"/>
        <w:numPr>
          <w:ilvl w:val="0"/>
          <w:numId w:val="50"/>
        </w:numPr>
      </w:pPr>
      <w:r>
        <w:lastRenderedPageBreak/>
        <w:t xml:space="preserve">Restructure of </w:t>
      </w:r>
      <w:r w:rsidR="004B0225">
        <w:t xml:space="preserve">the </w:t>
      </w:r>
      <w:r>
        <w:t xml:space="preserve">Clinical Governance </w:t>
      </w:r>
      <w:r w:rsidR="004B0225">
        <w:t>Framework</w:t>
      </w:r>
      <w:r>
        <w:t xml:space="preserve"> to align with PSIRF and new assurance groups.</w:t>
      </w:r>
    </w:p>
    <w:p w14:paraId="75052E15" w14:textId="5B53720E" w:rsidR="001C3FD2" w:rsidRDefault="006A3B5F" w:rsidP="007E2A8B">
      <w:pPr>
        <w:pStyle w:val="ListParagraph"/>
        <w:numPr>
          <w:ilvl w:val="0"/>
          <w:numId w:val="50"/>
        </w:numPr>
      </w:pPr>
      <w:r>
        <w:t>Development of Power BI dashboards to enable better understanding of local themes and trends.</w:t>
      </w:r>
    </w:p>
    <w:p w14:paraId="0452CC1F" w14:textId="0A1C26D4" w:rsidR="006A3B5F" w:rsidRDefault="006A3B5F" w:rsidP="007E2A8B">
      <w:pPr>
        <w:pStyle w:val="ListParagraph"/>
        <w:numPr>
          <w:ilvl w:val="0"/>
          <w:numId w:val="50"/>
        </w:numPr>
      </w:pPr>
      <w:r>
        <w:t xml:space="preserve">Definition of </w:t>
      </w:r>
      <w:r w:rsidR="00CD59C2">
        <w:t>FCMS local patient safety priority themes within the Patient Safety Incident Response Plan (PSIRP).</w:t>
      </w:r>
    </w:p>
    <w:p w14:paraId="25564BEC" w14:textId="467F71D7" w:rsidR="00CD59C2" w:rsidRDefault="00CD59C2" w:rsidP="007E2A8B">
      <w:pPr>
        <w:pStyle w:val="ListParagraph"/>
        <w:numPr>
          <w:ilvl w:val="0"/>
          <w:numId w:val="50"/>
        </w:numPr>
      </w:pPr>
      <w:r>
        <w:t>Updates and changes made to the Incident Re</w:t>
      </w:r>
      <w:r w:rsidR="004E57A6">
        <w:t>porting</w:t>
      </w:r>
      <w:r>
        <w:t xml:space="preserve"> system to improve</w:t>
      </w:r>
      <w:r w:rsidR="003C0A3E">
        <w:t xml:space="preserve"> system usability and expand access.</w:t>
      </w:r>
    </w:p>
    <w:p w14:paraId="66AC8E8E" w14:textId="34D0FF79" w:rsidR="00530373" w:rsidRDefault="00530373" w:rsidP="007E2A8B">
      <w:pPr>
        <w:pStyle w:val="ListParagraph"/>
        <w:numPr>
          <w:ilvl w:val="0"/>
          <w:numId w:val="50"/>
        </w:numPr>
      </w:pPr>
      <w:r>
        <w:t xml:space="preserve">Bi-weekly Clinical Governance Drop-In sessions </w:t>
      </w:r>
      <w:r w:rsidR="002644C1">
        <w:t>for specified Governance support, problem solving, fact checking and learning.</w:t>
      </w:r>
    </w:p>
    <w:p w14:paraId="3BF881C4" w14:textId="43EDC569" w:rsidR="003C0A3E" w:rsidRDefault="003C0A3E" w:rsidP="007E2A8B">
      <w:pPr>
        <w:pStyle w:val="ListParagraph"/>
        <w:numPr>
          <w:ilvl w:val="0"/>
          <w:numId w:val="50"/>
        </w:numPr>
      </w:pPr>
      <w:r>
        <w:t xml:space="preserve">Improvements to our Safeguarding </w:t>
      </w:r>
      <w:r w:rsidR="00E06C40">
        <w:t xml:space="preserve">Program, including a relaunch of </w:t>
      </w:r>
      <w:r w:rsidR="00E852EC">
        <w:t>Safeguarding</w:t>
      </w:r>
      <w:r w:rsidR="00E06C40">
        <w:t xml:space="preserve"> Champions, and expansion of Safeguarding leadership.</w:t>
      </w:r>
    </w:p>
    <w:p w14:paraId="1917B2BB" w14:textId="700D4632" w:rsidR="00E06C40" w:rsidRDefault="003F33EA" w:rsidP="007E2A8B">
      <w:pPr>
        <w:pStyle w:val="ListParagraph"/>
        <w:numPr>
          <w:ilvl w:val="0"/>
          <w:numId w:val="50"/>
        </w:numPr>
      </w:pPr>
      <w:r>
        <w:t xml:space="preserve">Training and resources developed on Effective Incident Reporting </w:t>
      </w:r>
      <w:r w:rsidR="00FA0860">
        <w:t>to improve data quality</w:t>
      </w:r>
      <w:r w:rsidR="00DC6171">
        <w:t>, processes and outcomes in both Incidents and Complaints.</w:t>
      </w:r>
    </w:p>
    <w:p w14:paraId="74CD3DF6" w14:textId="4E8CE70F" w:rsidR="00D54A11" w:rsidRDefault="00D54A11" w:rsidP="00C6312D">
      <w:pPr>
        <w:pStyle w:val="ListParagraph"/>
        <w:numPr>
          <w:ilvl w:val="0"/>
          <w:numId w:val="50"/>
        </w:numPr>
      </w:pPr>
      <w:r>
        <w:t xml:space="preserve">Publication of a </w:t>
      </w:r>
      <w:r w:rsidR="00C6312D">
        <w:t>multitude of Patient Safety resources, including:</w:t>
      </w:r>
    </w:p>
    <w:p w14:paraId="3B258928" w14:textId="53BEFBB9" w:rsidR="00C6312D" w:rsidRDefault="00030CFC" w:rsidP="00C6312D">
      <w:pPr>
        <w:pStyle w:val="ListParagraph"/>
        <w:numPr>
          <w:ilvl w:val="1"/>
          <w:numId w:val="50"/>
        </w:numPr>
      </w:pPr>
      <w:r>
        <w:t>Patient Safety Glossary</w:t>
      </w:r>
    </w:p>
    <w:p w14:paraId="03B50570" w14:textId="1D21B8F8" w:rsidR="00030CFC" w:rsidRDefault="00030CFC" w:rsidP="00C6312D">
      <w:pPr>
        <w:pStyle w:val="ListParagraph"/>
        <w:numPr>
          <w:ilvl w:val="1"/>
          <w:numId w:val="50"/>
        </w:numPr>
      </w:pPr>
      <w:r>
        <w:t>Patient Safety Event Management Flowchart</w:t>
      </w:r>
    </w:p>
    <w:p w14:paraId="6FA4709B" w14:textId="52C02872" w:rsidR="00030CFC" w:rsidRDefault="00030CFC" w:rsidP="00C6312D">
      <w:pPr>
        <w:pStyle w:val="ListParagraph"/>
        <w:numPr>
          <w:ilvl w:val="1"/>
          <w:numId w:val="50"/>
        </w:numPr>
      </w:pPr>
      <w:r>
        <w:t>Learning Response Method Decision Tree</w:t>
      </w:r>
    </w:p>
    <w:p w14:paraId="1578C30C" w14:textId="4F892D81" w:rsidR="00030CFC" w:rsidRDefault="007F5B12" w:rsidP="00C6312D">
      <w:pPr>
        <w:pStyle w:val="ListParagraph"/>
        <w:numPr>
          <w:ilvl w:val="1"/>
          <w:numId w:val="50"/>
        </w:numPr>
      </w:pPr>
      <w:r>
        <w:t>Updated Patient Letter Templates for Incidents and Complaints</w:t>
      </w:r>
    </w:p>
    <w:p w14:paraId="1DC2DD92" w14:textId="4F533DD9" w:rsidR="006D18F6" w:rsidRPr="00FF6C8F" w:rsidRDefault="000E61B2" w:rsidP="00530373">
      <w:pPr>
        <w:pStyle w:val="ListParagraph"/>
        <w:numPr>
          <w:ilvl w:val="1"/>
          <w:numId w:val="50"/>
        </w:numPr>
      </w:pPr>
      <w:r>
        <w:t>A review and development of Patient Literature relating to Patient Safety processes.</w:t>
      </w:r>
    </w:p>
    <w:p w14:paraId="38C2918B" w14:textId="7525BEDB" w:rsidR="004C26B2" w:rsidRPr="00DF6C64" w:rsidRDefault="00F87477" w:rsidP="00FC3C5A">
      <w:pPr>
        <w:pStyle w:val="Heading2"/>
        <w:rPr>
          <w:sz w:val="22"/>
          <w:szCs w:val="22"/>
        </w:rPr>
      </w:pPr>
      <w:bookmarkStart w:id="11" w:name="_Toc106014097"/>
      <w:bookmarkStart w:id="12" w:name="_Toc204783820"/>
      <w:r w:rsidRPr="00DF6C64">
        <w:rPr>
          <w:sz w:val="22"/>
          <w:szCs w:val="22"/>
        </w:rPr>
        <w:t xml:space="preserve">Patient </w:t>
      </w:r>
      <w:r w:rsidR="00751598" w:rsidRPr="00DF6C64">
        <w:rPr>
          <w:sz w:val="22"/>
          <w:szCs w:val="22"/>
        </w:rPr>
        <w:t>S</w:t>
      </w:r>
      <w:r w:rsidRPr="00DF6C64">
        <w:rPr>
          <w:sz w:val="22"/>
          <w:szCs w:val="22"/>
        </w:rPr>
        <w:t xml:space="preserve">afety </w:t>
      </w:r>
      <w:r w:rsidR="00751598" w:rsidRPr="00DF6C64">
        <w:rPr>
          <w:sz w:val="22"/>
          <w:szCs w:val="22"/>
        </w:rPr>
        <w:t>P</w:t>
      </w:r>
      <w:r w:rsidRPr="00DF6C64">
        <w:rPr>
          <w:sz w:val="22"/>
          <w:szCs w:val="22"/>
        </w:rPr>
        <w:t>artners</w:t>
      </w:r>
      <w:bookmarkEnd w:id="11"/>
      <w:bookmarkEnd w:id="12"/>
    </w:p>
    <w:p w14:paraId="66D20342" w14:textId="2BCD3DD6" w:rsidR="000C4F5D" w:rsidRPr="00DF6C64" w:rsidRDefault="000C4F5D" w:rsidP="00BE3392">
      <w:r w:rsidRPr="00DF6C64">
        <w:t xml:space="preserve">The Patient Safety Partner (PSP) role is a new and evolving role developed by NHS England to help improve patient safety across the NHS. </w:t>
      </w:r>
    </w:p>
    <w:p w14:paraId="21D3F33D" w14:textId="1A357929" w:rsidR="000C4F5D" w:rsidRPr="00DF6C64" w:rsidRDefault="000C4F5D" w:rsidP="00BE3392">
      <w:r w:rsidRPr="00DF6C64">
        <w:t>At FCMS, we welcome PSPs who will offer support alongside our people, patients, families, and carers to influence and improve safety across our range of services. PSPs can be patients, carers, family members or other lay people (including NHS staff from another organisation</w:t>
      </w:r>
      <w:r w:rsidR="007B3C28" w:rsidRPr="00DF6C64">
        <w:t xml:space="preserve"> such as other UHUK members or </w:t>
      </w:r>
      <w:r w:rsidR="006F5FF2">
        <w:t>ambulance services</w:t>
      </w:r>
      <w:r w:rsidRPr="00DF6C64">
        <w:t xml:space="preserve">) and offers great opportunities to share experiences and skills and provide a level of scrutiny. This exciting new role will evolve over time with the main purpose of the role is to be the voice for our patients and community who utilise our services, ensuring patient safety is at the forefront of all that we do. </w:t>
      </w:r>
    </w:p>
    <w:p w14:paraId="5B273317" w14:textId="601C4F35" w:rsidR="000C4F5D" w:rsidRPr="00DF6C64" w:rsidRDefault="000C4F5D" w:rsidP="00BE3392">
      <w:r w:rsidRPr="00DF6C64">
        <w:t xml:space="preserve">PSPs will provide objective feedback focusing on maintaining safety and improvement. This may include attendance at our governance meetings and involvement with the production and review of relatable policies and procedures. The information may be complex, and partners will provide feedback to ensure patient safety is our priority. </w:t>
      </w:r>
    </w:p>
    <w:p w14:paraId="09DFE196" w14:textId="43792496" w:rsidR="000C4F5D" w:rsidRPr="00DF6C64" w:rsidRDefault="000C4F5D" w:rsidP="00BE3392">
      <w:r w:rsidRPr="00DF6C64">
        <w:t xml:space="preserve">PSPs will be supported in their honorary role by the </w:t>
      </w:r>
      <w:r w:rsidR="00EE0558">
        <w:t xml:space="preserve">Clinical Governance Team and Clinical Leadership Team </w:t>
      </w:r>
      <w:r w:rsidRPr="00DF6C64">
        <w:t xml:space="preserve">who will provide expectations and guidance for the role. They will have regular reviews and training needs will be agreed together, based on the experience and knowledge of each partner. </w:t>
      </w:r>
    </w:p>
    <w:p w14:paraId="724CF9C0" w14:textId="3BCC7EEA" w:rsidR="000C4F5D" w:rsidRPr="00DF6C64" w:rsidRDefault="000C4F5D" w:rsidP="00BE3392">
      <w:r w:rsidRPr="00DF6C64">
        <w:t xml:space="preserve">The PSP role will be reviewed annually to ensure the role is aligned to the patient safety agenda as it continues to </w:t>
      </w:r>
      <w:proofErr w:type="gramStart"/>
      <w:r w:rsidRPr="00DF6C64">
        <w:t>develop, and</w:t>
      </w:r>
      <w:proofErr w:type="gramEnd"/>
      <w:r w:rsidRPr="00DF6C64">
        <w:t xml:space="preserve"> expanded to ensure we are represented by the diverse communities we serve, including population groups who may sometimes experience </w:t>
      </w:r>
      <w:r w:rsidRPr="00DF6C64">
        <w:lastRenderedPageBreak/>
        <w:t>challenges in accessing our services.</w:t>
      </w:r>
      <w:r w:rsidR="00223882" w:rsidRPr="00DF6C64">
        <w:t xml:space="preserve"> Patient voice groups are to be set up for FCMS where patients can feedback experiences including any learning around safety </w:t>
      </w:r>
      <w:r w:rsidR="00C64C9D" w:rsidRPr="00DF6C64">
        <w:t xml:space="preserve">issues. </w:t>
      </w:r>
    </w:p>
    <w:p w14:paraId="024E5D84" w14:textId="1635F887" w:rsidR="000C4F5D" w:rsidRPr="00DF6C64" w:rsidRDefault="00C64C9D" w:rsidP="000C4F5D">
      <w:pPr>
        <w:rPr>
          <w:color w:val="005EB8"/>
          <w:u w:val="single"/>
        </w:rPr>
      </w:pPr>
      <w:r w:rsidRPr="00DF6C64">
        <w:t>We will endeavour to use</w:t>
      </w:r>
      <w:r w:rsidR="000C475D" w:rsidRPr="00DF6C64">
        <w:t xml:space="preserve"> and follow</w:t>
      </w:r>
      <w:r w:rsidRPr="00DF6C64">
        <w:t xml:space="preserve"> the </w:t>
      </w:r>
      <w:r w:rsidR="00D86080">
        <w:rPr>
          <w:rFonts w:cs="Arial"/>
        </w:rPr>
        <w:t>f</w:t>
      </w:r>
      <w:r w:rsidRPr="00D86080">
        <w:rPr>
          <w:rFonts w:cs="Arial"/>
        </w:rPr>
        <w:t>ramework for involving patients in patient safety guidance</w:t>
      </w:r>
      <w:r w:rsidR="00D86080" w:rsidRPr="00D86080">
        <w:rPr>
          <w:rStyle w:val="Hyperlink"/>
          <w:rFonts w:cs="Arial"/>
          <w:color w:val="auto"/>
          <w:u w:val="none"/>
        </w:rPr>
        <w:t>.</w:t>
      </w:r>
    </w:p>
    <w:p w14:paraId="13CDEF18" w14:textId="67818797" w:rsidR="003F07E1" w:rsidRPr="00EE0558" w:rsidRDefault="00691502" w:rsidP="00751598">
      <w:pPr>
        <w:pStyle w:val="Heading2"/>
        <w:rPr>
          <w:rFonts w:cs="Arial"/>
          <w:color w:val="0070C0"/>
          <w:sz w:val="22"/>
          <w:szCs w:val="22"/>
        </w:rPr>
      </w:pPr>
      <w:bookmarkStart w:id="13" w:name="_Toc106014098"/>
      <w:bookmarkStart w:id="14" w:name="_Toc204783821"/>
      <w:r w:rsidRPr="00EE0558">
        <w:rPr>
          <w:sz w:val="22"/>
          <w:szCs w:val="22"/>
        </w:rPr>
        <w:t>Addressing health inequalities</w:t>
      </w:r>
      <w:bookmarkEnd w:id="13"/>
      <w:bookmarkEnd w:id="14"/>
    </w:p>
    <w:p w14:paraId="44CFEBFE" w14:textId="77777777" w:rsidR="00751598" w:rsidRPr="00CE4C66" w:rsidRDefault="00F10935" w:rsidP="00751598">
      <w:r w:rsidRPr="00CE4C66">
        <w:t xml:space="preserve">FCMS recognises that the NHS has a core role to play in reducing inequalities in health by improving access to </w:t>
      </w:r>
      <w:r w:rsidR="00F26BE7" w:rsidRPr="00CE4C66">
        <w:t xml:space="preserve">our </w:t>
      </w:r>
      <w:r w:rsidRPr="00CE4C66">
        <w:t>services and tailoring those services around the needs of the local population in an inclusive way.</w:t>
      </w:r>
    </w:p>
    <w:p w14:paraId="1AA0CD13" w14:textId="77777777" w:rsidR="00983930" w:rsidRPr="00CE4C66" w:rsidRDefault="00F26BE7" w:rsidP="00983930">
      <w:r w:rsidRPr="00CE4C66">
        <w:rPr>
          <w:rFonts w:cs="Arial"/>
        </w:rPr>
        <w:t>A</w:t>
      </w:r>
      <w:r w:rsidR="00F10935" w:rsidRPr="00CE4C66">
        <w:rPr>
          <w:rFonts w:cs="Arial"/>
        </w:rPr>
        <w:t xml:space="preserve">s a </w:t>
      </w:r>
      <w:r w:rsidRPr="00CE4C66">
        <w:rPr>
          <w:rFonts w:cs="Arial"/>
        </w:rPr>
        <w:t xml:space="preserve">Social enterprise </w:t>
      </w:r>
      <w:r w:rsidR="00F10935" w:rsidRPr="00CE4C66">
        <w:rPr>
          <w:rFonts w:cs="Arial"/>
        </w:rPr>
        <w:t xml:space="preserve">company, </w:t>
      </w:r>
      <w:r w:rsidRPr="00CE4C66">
        <w:rPr>
          <w:rFonts w:cs="Arial"/>
        </w:rPr>
        <w:t xml:space="preserve">we are </w:t>
      </w:r>
      <w:r w:rsidR="00F10935" w:rsidRPr="00CE4C66">
        <w:rPr>
          <w:rFonts w:cs="Arial"/>
        </w:rPr>
        <w:t xml:space="preserve">committed to delivering on </w:t>
      </w:r>
      <w:r w:rsidR="00330CCA" w:rsidRPr="00CE4C66">
        <w:rPr>
          <w:rFonts w:cs="Arial"/>
        </w:rPr>
        <w:t xml:space="preserve">our </w:t>
      </w:r>
      <w:r w:rsidR="00F10935" w:rsidRPr="00CE4C66">
        <w:rPr>
          <w:rFonts w:cs="Arial"/>
        </w:rPr>
        <w:t xml:space="preserve">obligations under the Equality Act (2010) and will use data intelligently to assess for any disproportionate patient safety risk to patients from across the range of protected characteristics. The </w:t>
      </w:r>
      <w:r w:rsidR="00BC7BBA" w:rsidRPr="00CE4C66">
        <w:rPr>
          <w:rFonts w:cs="Arial"/>
        </w:rPr>
        <w:t>IT</w:t>
      </w:r>
      <w:r w:rsidR="00330CCA" w:rsidRPr="00CE4C66">
        <w:rPr>
          <w:rFonts w:cs="Arial"/>
        </w:rPr>
        <w:t xml:space="preserve"> systems we use allow us to capture </w:t>
      </w:r>
      <w:r w:rsidR="00BC7BBA" w:rsidRPr="00CE4C66">
        <w:rPr>
          <w:rFonts w:cs="Arial"/>
        </w:rPr>
        <w:t xml:space="preserve">data that </w:t>
      </w:r>
      <w:r w:rsidR="00F10935" w:rsidRPr="00CE4C66">
        <w:rPr>
          <w:rFonts w:cs="Arial"/>
        </w:rPr>
        <w:t>will allow for incidents to be analysed by protected characteristics to give insight into any apparent inequalities.</w:t>
      </w:r>
    </w:p>
    <w:p w14:paraId="305DC3FE" w14:textId="1E93794A" w:rsidR="00F10935" w:rsidRPr="00CE4C66" w:rsidRDefault="00F10935" w:rsidP="00983930">
      <w:r w:rsidRPr="00CE4C66">
        <w:rPr>
          <w:rFonts w:cs="Arial"/>
        </w:rPr>
        <w:t xml:space="preserve">We will directly address if there are any </w:t>
      </w:r>
      <w:proofErr w:type="gramStart"/>
      <w:r w:rsidRPr="00CE4C66">
        <w:rPr>
          <w:rFonts w:cs="Arial"/>
        </w:rPr>
        <w:t>particular features</w:t>
      </w:r>
      <w:proofErr w:type="gramEnd"/>
      <w:r w:rsidRPr="00CE4C66">
        <w:rPr>
          <w:rFonts w:cs="Arial"/>
        </w:rPr>
        <w:t xml:space="preserve"> of an incident which indicate           health inequalities may have contributed to harm or demonstrate a risk to a particular population group, including all protected characteristics. When constructing our safety actions in response to any incident we will consider inequalities, and this will be inbuilt into our documentation and governance processes. </w:t>
      </w:r>
    </w:p>
    <w:p w14:paraId="37E4A99C" w14:textId="050468FD" w:rsidR="00F10935" w:rsidRPr="00CE4C66" w:rsidRDefault="00F10935" w:rsidP="00983930">
      <w:pPr>
        <w:spacing w:after="0"/>
        <w:ind w:right="-330"/>
        <w:rPr>
          <w:rFonts w:cs="Arial"/>
        </w:rPr>
      </w:pPr>
      <w:r w:rsidRPr="00CE4C66">
        <w:rPr>
          <w:rFonts w:cs="Arial"/>
        </w:rPr>
        <w:t xml:space="preserve">We will also address apparent health inequalities as part of our safety improvement work. We understand that our services provide care to significant numbers of the Core20PLUS5 population cohort identified by NHS England and Improvement (2021). In establishing our plan and policy we will work to identify variations that signify potential inequalities by using our population data and our patient </w:t>
      </w:r>
      <w:r w:rsidR="006F3B14" w:rsidRPr="00CE4C66">
        <w:rPr>
          <w:rFonts w:cs="Arial"/>
        </w:rPr>
        <w:t>incident</w:t>
      </w:r>
      <w:r w:rsidRPr="00CE4C66">
        <w:rPr>
          <w:rFonts w:cs="Arial"/>
        </w:rPr>
        <w:t xml:space="preserve"> data to ensure that this is considered as part of the development process for future iterations of our patient safety incident response plan and this policy. We consider this as an integral part of the future development process.</w:t>
      </w:r>
    </w:p>
    <w:p w14:paraId="5A4B8EBA" w14:textId="77777777" w:rsidR="00F10935" w:rsidRPr="00CE4C66" w:rsidRDefault="00F10935" w:rsidP="00F10935">
      <w:pPr>
        <w:spacing w:after="0"/>
        <w:ind w:left="-284" w:right="-330"/>
        <w:rPr>
          <w:rFonts w:cs="Arial"/>
        </w:rPr>
      </w:pPr>
    </w:p>
    <w:p w14:paraId="1FAF533C" w14:textId="57D5AE51" w:rsidR="00F10935" w:rsidRPr="00CE4C66" w:rsidRDefault="00F10935" w:rsidP="00CE4C66">
      <w:pPr>
        <w:spacing w:after="0"/>
        <w:ind w:right="-330"/>
        <w:rPr>
          <w:rFonts w:cs="Arial"/>
        </w:rPr>
      </w:pPr>
      <w:r w:rsidRPr="00CE4C66">
        <w:rPr>
          <w:rFonts w:cs="Arial"/>
        </w:rPr>
        <w:t>Engagement of patient, families and staff following a patient safety incident is critical to</w:t>
      </w:r>
      <w:r w:rsidR="00BE3392" w:rsidRPr="00CE4C66">
        <w:rPr>
          <w:rFonts w:cs="Arial"/>
        </w:rPr>
        <w:t xml:space="preserve"> the</w:t>
      </w:r>
      <w:r w:rsidRPr="00CE4C66">
        <w:rPr>
          <w:rFonts w:cs="Arial"/>
        </w:rPr>
        <w:t xml:space="preserve"> review of</w:t>
      </w:r>
      <w:r w:rsidR="00BE3392" w:rsidRPr="00CE4C66">
        <w:rPr>
          <w:rFonts w:cs="Arial"/>
        </w:rPr>
        <w:t xml:space="preserve"> </w:t>
      </w:r>
      <w:r w:rsidRPr="00CE4C66">
        <w:rPr>
          <w:rFonts w:cs="Arial"/>
        </w:rPr>
        <w:t xml:space="preserve">patient safety incidents and their response. We will ensure that we use available tools such as easy read, translation and interpretation services and other methods as appropriate to meet the needs of those concerned and maximise their potential to be involved in our patient safety incident response. </w:t>
      </w:r>
    </w:p>
    <w:p w14:paraId="52ECC39E" w14:textId="77777777" w:rsidR="001260FC" w:rsidRPr="00CE4C66" w:rsidRDefault="001260FC" w:rsidP="00F10935">
      <w:pPr>
        <w:spacing w:after="0"/>
        <w:ind w:left="-284" w:right="-330"/>
        <w:rPr>
          <w:rFonts w:cs="Arial"/>
        </w:rPr>
      </w:pPr>
    </w:p>
    <w:p w14:paraId="48185FE5" w14:textId="77777777" w:rsidR="00DB7A4E" w:rsidRDefault="001260FC" w:rsidP="00DB7A4E">
      <w:pPr>
        <w:spacing w:after="0"/>
        <w:ind w:right="-330"/>
      </w:pPr>
      <w:r w:rsidRPr="00CE4C66">
        <w:rPr>
          <w:rFonts w:cs="Arial"/>
        </w:rPr>
        <w:t>FCMS endorses a zero tolerance of racism, discrimination, and unacceptable behaviours from and towards our people, our patients, carers, and familie</w:t>
      </w:r>
      <w:r w:rsidR="00DB7A4E">
        <w:rPr>
          <w:rFonts w:cs="Arial"/>
        </w:rPr>
        <w:t>s.</w:t>
      </w:r>
    </w:p>
    <w:p w14:paraId="7892BB26" w14:textId="77777777" w:rsidR="00DB7A4E" w:rsidRDefault="00DB7A4E" w:rsidP="00DB7A4E">
      <w:pPr>
        <w:spacing w:after="0"/>
        <w:ind w:right="-330"/>
      </w:pPr>
    </w:p>
    <w:p w14:paraId="40BC61E1" w14:textId="3C50FE6E" w:rsidR="002B1C64" w:rsidRPr="00266116" w:rsidRDefault="002B1C64" w:rsidP="00266116">
      <w:pPr>
        <w:pStyle w:val="Heading2"/>
        <w:rPr>
          <w:b/>
          <w:sz w:val="22"/>
          <w:szCs w:val="22"/>
        </w:rPr>
      </w:pPr>
      <w:bookmarkStart w:id="15" w:name="_Toc204783822"/>
      <w:r w:rsidRPr="00266116">
        <w:rPr>
          <w:sz w:val="22"/>
          <w:szCs w:val="22"/>
        </w:rPr>
        <w:t xml:space="preserve">Engaging and </w:t>
      </w:r>
      <w:r w:rsidR="00E43701">
        <w:rPr>
          <w:sz w:val="22"/>
          <w:szCs w:val="22"/>
        </w:rPr>
        <w:t>I</w:t>
      </w:r>
      <w:r w:rsidRPr="00266116">
        <w:rPr>
          <w:sz w:val="22"/>
          <w:szCs w:val="22"/>
        </w:rPr>
        <w:t xml:space="preserve">nvolving </w:t>
      </w:r>
      <w:r w:rsidR="00E43701">
        <w:rPr>
          <w:sz w:val="22"/>
          <w:szCs w:val="22"/>
        </w:rPr>
        <w:t>P</w:t>
      </w:r>
      <w:r w:rsidRPr="00266116">
        <w:rPr>
          <w:sz w:val="22"/>
          <w:szCs w:val="22"/>
        </w:rPr>
        <w:t xml:space="preserve">atients, </w:t>
      </w:r>
      <w:r w:rsidR="00E43701">
        <w:rPr>
          <w:sz w:val="22"/>
          <w:szCs w:val="22"/>
        </w:rPr>
        <w:t>F</w:t>
      </w:r>
      <w:r w:rsidRPr="00266116">
        <w:rPr>
          <w:sz w:val="22"/>
          <w:szCs w:val="22"/>
        </w:rPr>
        <w:t xml:space="preserve">amilies and </w:t>
      </w:r>
      <w:r w:rsidR="00E43701">
        <w:rPr>
          <w:sz w:val="22"/>
          <w:szCs w:val="22"/>
        </w:rPr>
        <w:t>S</w:t>
      </w:r>
      <w:r w:rsidRPr="00266116">
        <w:rPr>
          <w:sz w:val="22"/>
          <w:szCs w:val="22"/>
        </w:rPr>
        <w:t xml:space="preserve">taff following a </w:t>
      </w:r>
      <w:r w:rsidR="00E43701">
        <w:rPr>
          <w:sz w:val="22"/>
          <w:szCs w:val="22"/>
        </w:rPr>
        <w:t>P</w:t>
      </w:r>
      <w:r w:rsidRPr="00266116">
        <w:rPr>
          <w:sz w:val="22"/>
          <w:szCs w:val="22"/>
        </w:rPr>
        <w:t xml:space="preserve">atient </w:t>
      </w:r>
      <w:r w:rsidR="00E43701">
        <w:rPr>
          <w:sz w:val="22"/>
          <w:szCs w:val="22"/>
        </w:rPr>
        <w:t>S</w:t>
      </w:r>
      <w:r w:rsidRPr="00266116">
        <w:rPr>
          <w:sz w:val="22"/>
          <w:szCs w:val="22"/>
        </w:rPr>
        <w:t xml:space="preserve">afety </w:t>
      </w:r>
      <w:r w:rsidR="00E43701">
        <w:rPr>
          <w:sz w:val="22"/>
          <w:szCs w:val="22"/>
        </w:rPr>
        <w:t>I</w:t>
      </w:r>
      <w:r w:rsidRPr="00266116">
        <w:rPr>
          <w:sz w:val="22"/>
          <w:szCs w:val="22"/>
        </w:rPr>
        <w:t>ncident</w:t>
      </w:r>
      <w:bookmarkEnd w:id="15"/>
    </w:p>
    <w:p w14:paraId="3D92EDB8" w14:textId="26CD562C" w:rsidR="009838E1" w:rsidRPr="000D0592" w:rsidRDefault="009838E1" w:rsidP="002F0A56">
      <w:r w:rsidRPr="000D0592">
        <w:t>PSIRF recognises that learning and improvement following a patient safety event can only be achieved if supportive systems and processes are in place</w:t>
      </w:r>
      <w:r w:rsidR="00BE39DB">
        <w:t xml:space="preserve"> for those affected by patient safety incidents</w:t>
      </w:r>
      <w:r w:rsidRPr="000D0592">
        <w:t xml:space="preserve">. It supports the development of an effective patient safety response system that prioritises compassionate engagement and involvement of those affected. This involves working with those affected to understand </w:t>
      </w:r>
      <w:r w:rsidR="00EB0483">
        <w:t xml:space="preserve">their individual requirements </w:t>
      </w:r>
      <w:r w:rsidRPr="000D0592">
        <w:t xml:space="preserve">and </w:t>
      </w:r>
      <w:r w:rsidR="00EB0483">
        <w:t xml:space="preserve">preferences, being open and transparent as required to share learnings from patient safety incidents, and tailoring our approach to </w:t>
      </w:r>
      <w:r w:rsidR="00CE33E4">
        <w:t>communication and engagement to meet their needs.</w:t>
      </w:r>
    </w:p>
    <w:p w14:paraId="48B6719A" w14:textId="392EA9BC" w:rsidR="009838E1" w:rsidRPr="000D0592" w:rsidRDefault="009838E1" w:rsidP="002F0A56">
      <w:r w:rsidRPr="000D0592">
        <w:lastRenderedPageBreak/>
        <w:t xml:space="preserve">We are committed to continuous improvement throughout the services we provide. We want to learn from any event where care does not go as planned or expected by our people, patients, their families, carers, and other organisations. Getting </w:t>
      </w:r>
      <w:r w:rsidR="002F0A56" w:rsidRPr="000D0592">
        <w:t>i</w:t>
      </w:r>
      <w:r w:rsidRPr="000D0592">
        <w:t>nvolvement right with patients and families in our response is crucial, particularly to support the improvement of the services we provide. This involves being open and honest whenever there is a concern about care</w:t>
      </w:r>
      <w:r w:rsidR="006B21CD">
        <w:t xml:space="preserve"> or </w:t>
      </w:r>
      <w:r w:rsidRPr="000D0592">
        <w:t xml:space="preserve">treatment provided, or when a mistake has been made. </w:t>
      </w:r>
    </w:p>
    <w:p w14:paraId="1A30FEE8" w14:textId="0D283E1D" w:rsidR="009838E1" w:rsidRPr="000D0592" w:rsidRDefault="009838E1" w:rsidP="002F0A56">
      <w:r w:rsidRPr="000D0592">
        <w:t xml:space="preserve">Alongside professional and statutory requirements for Duty of Candour, </w:t>
      </w:r>
      <w:r w:rsidR="001307A4" w:rsidRPr="000D0592">
        <w:t>FCMS</w:t>
      </w:r>
      <w:r w:rsidRPr="000D0592">
        <w:t xml:space="preserve"> commits to being open and transparent because it’s the right thing to do; this is regardless of the level of harm caused by an event. In-line with the PSIRF we will support those involved via a </w:t>
      </w:r>
      <w:r w:rsidR="001307A4" w:rsidRPr="000D0592">
        <w:t xml:space="preserve">local </w:t>
      </w:r>
      <w:r w:rsidRPr="000D0592">
        <w:t xml:space="preserve">network of Engagement Leads who will guide our people, patients, and their families through our patient safety learning responses to conclusion. </w:t>
      </w:r>
    </w:p>
    <w:p w14:paraId="64AFDB94" w14:textId="3DD60DFE" w:rsidR="009838E1" w:rsidRPr="000D0592" w:rsidRDefault="009838E1" w:rsidP="002F0A56">
      <w:r w:rsidRPr="000D0592">
        <w:t xml:space="preserve">In addition, we have </w:t>
      </w:r>
      <w:r w:rsidR="00FE3F84" w:rsidRPr="000D0592">
        <w:t xml:space="preserve">complaints </w:t>
      </w:r>
      <w:r w:rsidR="001307A4" w:rsidRPr="000D0592">
        <w:t>leads</w:t>
      </w:r>
      <w:r w:rsidR="00FE3F84" w:rsidRPr="000D0592">
        <w:t xml:space="preserve"> locally and centrally </w:t>
      </w:r>
      <w:r w:rsidRPr="000D0592">
        <w:t xml:space="preserve">for those with a concern or are unhappy about their experience with </w:t>
      </w:r>
      <w:r w:rsidR="001307A4" w:rsidRPr="000D0592">
        <w:t>FCMS</w:t>
      </w:r>
      <w:r w:rsidRPr="000D0592">
        <w:t xml:space="preserve">. This allows the organisation to review the concern and make improvements where necessary and feasible. </w:t>
      </w:r>
    </w:p>
    <w:p w14:paraId="2FC3C173" w14:textId="4E4DDAC3" w:rsidR="009838E1" w:rsidRPr="000D0592" w:rsidRDefault="00E87567" w:rsidP="002F0A56">
      <w:r w:rsidRPr="000D0592">
        <w:t>FCMS</w:t>
      </w:r>
      <w:r w:rsidR="009838E1" w:rsidRPr="000D0592">
        <w:t xml:space="preserve"> loves to hear great things about our people and the services we provide</w:t>
      </w:r>
      <w:r w:rsidR="004C06BE">
        <w:t>,</w:t>
      </w:r>
      <w:r w:rsidR="009838E1" w:rsidRPr="000D0592">
        <w:t xml:space="preserve"> and </w:t>
      </w:r>
      <w:r w:rsidRPr="000D0592">
        <w:t xml:space="preserve">we </w:t>
      </w:r>
      <w:r w:rsidR="009838E1" w:rsidRPr="000D0592">
        <w:t xml:space="preserve">welcome compliments from our patients and their families which are used to assist with learning from excellence. </w:t>
      </w:r>
      <w:r w:rsidRPr="000D0592">
        <w:t>Feedback can also be left on our website.</w:t>
      </w:r>
    </w:p>
    <w:p w14:paraId="6F7D1BCC" w14:textId="5DCC140A" w:rsidR="002F658E" w:rsidRPr="000D0592" w:rsidRDefault="00381C19" w:rsidP="002F0A56">
      <w:r w:rsidRPr="000D0592">
        <w:t xml:space="preserve">FCMS </w:t>
      </w:r>
      <w:r w:rsidR="009838E1" w:rsidRPr="000D0592">
        <w:t>recognises it can be beneficial</w:t>
      </w:r>
      <w:r w:rsidR="00B5090F">
        <w:t xml:space="preserve"> for our staff members</w:t>
      </w:r>
      <w:r w:rsidR="009838E1" w:rsidRPr="000D0592">
        <w:t xml:space="preserve"> to seek support </w:t>
      </w:r>
      <w:r w:rsidR="00EE3885">
        <w:t>relating to</w:t>
      </w:r>
      <w:r w:rsidR="009838E1" w:rsidRPr="000D0592">
        <w:t xml:space="preserve"> patient safety event</w:t>
      </w:r>
      <w:r w:rsidR="00EE3885">
        <w:t>s</w:t>
      </w:r>
      <w:r w:rsidR="009838E1" w:rsidRPr="000D0592">
        <w:t xml:space="preserve"> they </w:t>
      </w:r>
      <w:r w:rsidR="00EE3885">
        <w:t xml:space="preserve">may </w:t>
      </w:r>
      <w:r w:rsidR="009838E1" w:rsidRPr="000D0592">
        <w:t xml:space="preserve">have been involved </w:t>
      </w:r>
      <w:r w:rsidR="00BB6887" w:rsidRPr="000D0592">
        <w:t xml:space="preserve">in, and </w:t>
      </w:r>
      <w:r w:rsidR="009838E1" w:rsidRPr="000D0592">
        <w:t>advocates the equal importance of both mental and physical health. Our</w:t>
      </w:r>
      <w:r w:rsidR="002F658E" w:rsidRPr="000D0592">
        <w:t xml:space="preserve"> people are encouraged to access the dedicated VIP app and webpage where there are a range of guides and supportive resources. </w:t>
      </w:r>
    </w:p>
    <w:p w14:paraId="36630225" w14:textId="0C90DCCA" w:rsidR="00340881" w:rsidRDefault="002F658E" w:rsidP="002F658E">
      <w:pPr>
        <w:rPr>
          <w:rFonts w:cs="Arial"/>
        </w:rPr>
      </w:pPr>
      <w:r w:rsidRPr="000D0592">
        <w:rPr>
          <w:rFonts w:cs="Arial"/>
        </w:rPr>
        <w:t>Patients</w:t>
      </w:r>
      <w:r w:rsidR="003B57A3">
        <w:rPr>
          <w:rFonts w:cs="Arial"/>
        </w:rPr>
        <w:t>, f</w:t>
      </w:r>
      <w:r w:rsidRPr="000D0592">
        <w:rPr>
          <w:rFonts w:cs="Arial"/>
        </w:rPr>
        <w:t>amilies and carers may find support from one of the following sources: (please note this is not an exhaustive list).</w:t>
      </w:r>
    </w:p>
    <w:tbl>
      <w:tblPr>
        <w:tblStyle w:val="TableGrid"/>
        <w:tblW w:w="0" w:type="auto"/>
        <w:tblLook w:val="04A0" w:firstRow="1" w:lastRow="0" w:firstColumn="1" w:lastColumn="0" w:noHBand="0" w:noVBand="1"/>
      </w:tblPr>
      <w:tblGrid>
        <w:gridCol w:w="1501"/>
        <w:gridCol w:w="7515"/>
      </w:tblGrid>
      <w:tr w:rsidR="00D15CBA" w14:paraId="4CA3573F" w14:textId="77777777" w:rsidTr="007A63E4">
        <w:tc>
          <w:tcPr>
            <w:tcW w:w="2405" w:type="dxa"/>
            <w:shd w:val="clear" w:color="auto" w:fill="17365D" w:themeFill="text2" w:themeFillShade="BF"/>
          </w:tcPr>
          <w:p w14:paraId="18BA4824" w14:textId="53F0E3B6" w:rsidR="00D15CBA" w:rsidRDefault="00D15CBA" w:rsidP="002F658E">
            <w:pPr>
              <w:rPr>
                <w:rFonts w:cs="Arial"/>
              </w:rPr>
            </w:pPr>
            <w:r>
              <w:rPr>
                <w:rFonts w:cs="Arial"/>
              </w:rPr>
              <w:t>Source</w:t>
            </w:r>
          </w:p>
        </w:tc>
        <w:tc>
          <w:tcPr>
            <w:tcW w:w="6611" w:type="dxa"/>
            <w:shd w:val="clear" w:color="auto" w:fill="17365D" w:themeFill="text2" w:themeFillShade="BF"/>
          </w:tcPr>
          <w:p w14:paraId="3D6E5443" w14:textId="50A35A69" w:rsidR="00D15CBA" w:rsidRDefault="007A63E4" w:rsidP="007A63E4">
            <w:pPr>
              <w:tabs>
                <w:tab w:val="left" w:pos="1351"/>
              </w:tabs>
              <w:rPr>
                <w:rFonts w:cs="Arial"/>
              </w:rPr>
            </w:pPr>
            <w:r>
              <w:rPr>
                <w:rFonts w:cs="Arial"/>
              </w:rPr>
              <w:t>Summary</w:t>
            </w:r>
            <w:r>
              <w:rPr>
                <w:rFonts w:cs="Arial"/>
              </w:rPr>
              <w:tab/>
            </w:r>
          </w:p>
        </w:tc>
      </w:tr>
      <w:tr w:rsidR="00D15CBA" w14:paraId="1B4D66AD" w14:textId="77777777" w:rsidTr="007A63E4">
        <w:tc>
          <w:tcPr>
            <w:tcW w:w="2405" w:type="dxa"/>
          </w:tcPr>
          <w:p w14:paraId="3156DB9D" w14:textId="24769FDA" w:rsidR="00D15CBA" w:rsidRDefault="007A63E4" w:rsidP="002F658E">
            <w:pPr>
              <w:rPr>
                <w:rFonts w:cs="Arial"/>
              </w:rPr>
            </w:pPr>
            <w:r>
              <w:rPr>
                <w:rFonts w:cs="Arial"/>
              </w:rPr>
              <w:t>Learning from Deaths</w:t>
            </w:r>
          </w:p>
        </w:tc>
        <w:tc>
          <w:tcPr>
            <w:tcW w:w="6611" w:type="dxa"/>
          </w:tcPr>
          <w:p w14:paraId="6C33D3B3" w14:textId="06A56860" w:rsidR="00D15CBA" w:rsidRDefault="007A63E4" w:rsidP="002F658E">
            <w:pPr>
              <w:rPr>
                <w:rFonts w:cs="Arial"/>
              </w:rPr>
            </w:pPr>
            <w:r w:rsidRPr="000D0592">
              <w:rPr>
                <w:rFonts w:cs="Arial"/>
              </w:rPr>
              <w:t xml:space="preserve">Provides an explanation of what happens following a bereavement (including those referred to a coroner) and how families and carers can comment on care received. </w:t>
            </w:r>
            <w:hyperlink r:id="rId12" w:history="1">
              <w:r w:rsidRPr="000D0592">
                <w:rPr>
                  <w:rStyle w:val="Hyperlink"/>
                  <w:rFonts w:cs="Arial"/>
                </w:rPr>
                <w:t>https://www.england.nhs.uk/publication/learning-from-deaths-information-for-families/</w:t>
              </w:r>
            </w:hyperlink>
          </w:p>
        </w:tc>
      </w:tr>
      <w:tr w:rsidR="00D15CBA" w14:paraId="688EC59C" w14:textId="77777777" w:rsidTr="007A63E4">
        <w:tc>
          <w:tcPr>
            <w:tcW w:w="2405" w:type="dxa"/>
          </w:tcPr>
          <w:p w14:paraId="0368BD03" w14:textId="2C7E685D" w:rsidR="00D15CBA" w:rsidRPr="007A63E4" w:rsidRDefault="007A63E4" w:rsidP="002F658E">
            <w:pPr>
              <w:rPr>
                <w:rFonts w:cs="Arial"/>
              </w:rPr>
            </w:pPr>
            <w:r w:rsidRPr="007A63E4">
              <w:rPr>
                <w:rFonts w:cs="Arial"/>
              </w:rPr>
              <w:t>Help is at Hand – Bereavement following suicide</w:t>
            </w:r>
          </w:p>
        </w:tc>
        <w:tc>
          <w:tcPr>
            <w:tcW w:w="6611" w:type="dxa"/>
          </w:tcPr>
          <w:p w14:paraId="6427DE79" w14:textId="68221BFB" w:rsidR="00D15CBA" w:rsidRDefault="007A63E4" w:rsidP="002F658E">
            <w:pPr>
              <w:rPr>
                <w:rFonts w:cs="Arial"/>
              </w:rPr>
            </w:pPr>
            <w:r w:rsidRPr="000D0592">
              <w:rPr>
                <w:rFonts w:cs="Arial"/>
              </w:rPr>
              <w:t xml:space="preserve">Specifically, for those bereaved by suicide; practical support and guidance for those who have suffered loss. </w:t>
            </w:r>
            <w:hyperlink r:id="rId13" w:history="1">
              <w:r w:rsidRPr="000D0592">
                <w:rPr>
                  <w:rStyle w:val="Hyperlink"/>
                  <w:rFonts w:cs="Arial"/>
                </w:rPr>
                <w:t>https://www.nhs.uk/Livewell/Suicide/Documents/Help%20is%20at%20Hand.pdf</w:t>
              </w:r>
            </w:hyperlink>
          </w:p>
        </w:tc>
      </w:tr>
      <w:tr w:rsidR="00D15CBA" w14:paraId="62FF8581" w14:textId="77777777" w:rsidTr="007A63E4">
        <w:tc>
          <w:tcPr>
            <w:tcW w:w="2405" w:type="dxa"/>
          </w:tcPr>
          <w:p w14:paraId="483FE2F7" w14:textId="02722A15" w:rsidR="00D15CBA" w:rsidRPr="007A63E4" w:rsidRDefault="007A63E4" w:rsidP="002F658E">
            <w:pPr>
              <w:rPr>
                <w:rFonts w:cs="Arial"/>
              </w:rPr>
            </w:pPr>
            <w:r w:rsidRPr="007A63E4">
              <w:rPr>
                <w:rFonts w:cs="Arial"/>
              </w:rPr>
              <w:t>Mental Health Homicide Support</w:t>
            </w:r>
          </w:p>
        </w:tc>
        <w:tc>
          <w:tcPr>
            <w:tcW w:w="6611" w:type="dxa"/>
          </w:tcPr>
          <w:p w14:paraId="55F2E9C8" w14:textId="259FBDF9" w:rsidR="00D15CBA" w:rsidRDefault="007A63E4" w:rsidP="002F658E">
            <w:pPr>
              <w:rPr>
                <w:rFonts w:cs="Arial"/>
              </w:rPr>
            </w:pPr>
            <w:r w:rsidRPr="000D0592">
              <w:rPr>
                <w:rFonts w:cs="Arial"/>
              </w:rPr>
              <w:t>For staff and families; this information has been developed by London region independent investigation team in collaboration with the Metropolitan Police. It is recommended that, following a mental health homicide or attempted homicide, the principles of the duty of candour are extended beyond the family and carers of the person who died, to the family of the perpetrator and others who died, and to other surviving victims and their families.</w:t>
            </w:r>
          </w:p>
        </w:tc>
      </w:tr>
      <w:tr w:rsidR="00D15CBA" w14:paraId="34F15F00" w14:textId="77777777" w:rsidTr="007A63E4">
        <w:tc>
          <w:tcPr>
            <w:tcW w:w="2405" w:type="dxa"/>
          </w:tcPr>
          <w:p w14:paraId="7FB19C9F" w14:textId="2707B0E3" w:rsidR="00D15CBA" w:rsidRPr="004C06BE" w:rsidRDefault="007A63E4" w:rsidP="002F658E">
            <w:pPr>
              <w:rPr>
                <w:rFonts w:cs="Arial"/>
              </w:rPr>
            </w:pPr>
            <w:r w:rsidRPr="004C06BE">
              <w:rPr>
                <w:rFonts w:cs="Arial"/>
              </w:rPr>
              <w:t>Child Death Support</w:t>
            </w:r>
          </w:p>
        </w:tc>
        <w:tc>
          <w:tcPr>
            <w:tcW w:w="6611" w:type="dxa"/>
          </w:tcPr>
          <w:p w14:paraId="5BD27C24" w14:textId="6C783D55" w:rsidR="00D15CBA" w:rsidRDefault="007A63E4" w:rsidP="002F658E">
            <w:pPr>
              <w:rPr>
                <w:rFonts w:cs="Arial"/>
              </w:rPr>
            </w:pPr>
            <w:r w:rsidRPr="000D0592">
              <w:rPr>
                <w:rFonts w:cs="Arial"/>
              </w:rPr>
              <w:t>Child Bereavement UK and lullaby trust both provide support and practical guidance for those who have lost a child at any age</w:t>
            </w:r>
            <w:r>
              <w:rPr>
                <w:rFonts w:cs="Arial"/>
              </w:rPr>
              <w:t>.</w:t>
            </w:r>
          </w:p>
        </w:tc>
      </w:tr>
      <w:tr w:rsidR="00D15CBA" w14:paraId="19004089" w14:textId="77777777" w:rsidTr="007A63E4">
        <w:tc>
          <w:tcPr>
            <w:tcW w:w="2405" w:type="dxa"/>
          </w:tcPr>
          <w:p w14:paraId="2AD64863" w14:textId="561E295D" w:rsidR="00D15CBA" w:rsidRPr="004C06BE" w:rsidRDefault="007A63E4" w:rsidP="002F658E">
            <w:pPr>
              <w:rPr>
                <w:rFonts w:cs="Arial"/>
              </w:rPr>
            </w:pPr>
            <w:r w:rsidRPr="004C06BE">
              <w:rPr>
                <w:rFonts w:cs="Arial"/>
              </w:rPr>
              <w:lastRenderedPageBreak/>
              <w:t>Complaints Advocacy</w:t>
            </w:r>
          </w:p>
        </w:tc>
        <w:tc>
          <w:tcPr>
            <w:tcW w:w="6611" w:type="dxa"/>
          </w:tcPr>
          <w:p w14:paraId="79A3B914" w14:textId="21BC66E1" w:rsidR="00D15CBA" w:rsidRDefault="007A63E4" w:rsidP="002F658E">
            <w:pPr>
              <w:rPr>
                <w:rFonts w:cs="Arial"/>
              </w:rPr>
            </w:pPr>
            <w:r w:rsidRPr="000D0592">
              <w:rPr>
                <w:rFonts w:cs="Arial"/>
              </w:rPr>
              <w:t xml:space="preserve">The NHS Complaints Advocacy Service can help navigate the NHS complaints system, attend meetings, and review information given during the complaints. </w:t>
            </w:r>
          </w:p>
        </w:tc>
      </w:tr>
      <w:tr w:rsidR="007A63E4" w14:paraId="042E7E47" w14:textId="77777777" w:rsidTr="007A63E4">
        <w:tc>
          <w:tcPr>
            <w:tcW w:w="2405" w:type="dxa"/>
          </w:tcPr>
          <w:p w14:paraId="3C7659DC" w14:textId="2447D579" w:rsidR="007A63E4" w:rsidRPr="004C06BE" w:rsidRDefault="007A63E4" w:rsidP="002F658E">
            <w:pPr>
              <w:rPr>
                <w:rFonts w:cs="Arial"/>
              </w:rPr>
            </w:pPr>
            <w:r w:rsidRPr="004C06BE">
              <w:rPr>
                <w:rFonts w:cs="Arial"/>
              </w:rPr>
              <w:t>Healthwatch</w:t>
            </w:r>
          </w:p>
        </w:tc>
        <w:tc>
          <w:tcPr>
            <w:tcW w:w="6611" w:type="dxa"/>
          </w:tcPr>
          <w:p w14:paraId="236210E2" w14:textId="7B143548" w:rsidR="007A63E4" w:rsidRPr="000D0592" w:rsidRDefault="007A63E4" w:rsidP="002F658E">
            <w:pPr>
              <w:rPr>
                <w:rFonts w:cs="Arial"/>
              </w:rPr>
            </w:pPr>
            <w:r w:rsidRPr="000D0592">
              <w:rPr>
                <w:rFonts w:cs="Arial"/>
              </w:rPr>
              <w:t>Healthwatch are an independent statutory body who provide information to help make a complaint, you can find a list of your local Healthwatch on their website.</w:t>
            </w:r>
          </w:p>
        </w:tc>
      </w:tr>
      <w:tr w:rsidR="007A63E4" w14:paraId="19D57B95" w14:textId="77777777" w:rsidTr="007A63E4">
        <w:tc>
          <w:tcPr>
            <w:tcW w:w="2405" w:type="dxa"/>
          </w:tcPr>
          <w:p w14:paraId="562A0C1B" w14:textId="130367F0" w:rsidR="007A63E4" w:rsidRPr="004C06BE" w:rsidRDefault="007A63E4" w:rsidP="002F658E">
            <w:pPr>
              <w:rPr>
                <w:rFonts w:cs="Arial"/>
              </w:rPr>
            </w:pPr>
            <w:r w:rsidRPr="004C06BE">
              <w:rPr>
                <w:rFonts w:cs="Arial"/>
              </w:rPr>
              <w:t>Parliamentary and Health Service Ombudsman (PHSO)</w:t>
            </w:r>
          </w:p>
        </w:tc>
        <w:tc>
          <w:tcPr>
            <w:tcW w:w="6611" w:type="dxa"/>
          </w:tcPr>
          <w:p w14:paraId="7B5B6C20" w14:textId="77777777" w:rsidR="007A63E4" w:rsidRPr="000D0592" w:rsidRDefault="007A63E4" w:rsidP="007A63E4">
            <w:pPr>
              <w:rPr>
                <w:rFonts w:cs="Arial"/>
              </w:rPr>
            </w:pPr>
            <w:r w:rsidRPr="000D0592">
              <w:rPr>
                <w:rFonts w:cs="Arial"/>
              </w:rPr>
              <w:t xml:space="preserve">Make final decisions on complaints for patients, families and or carers when deemed not to have been resolved fairly by the NHS in England. </w:t>
            </w:r>
          </w:p>
          <w:p w14:paraId="261F4CE4" w14:textId="77777777" w:rsidR="007A63E4" w:rsidRPr="000D0592" w:rsidRDefault="007A63E4" w:rsidP="002F658E">
            <w:pPr>
              <w:rPr>
                <w:rFonts w:cs="Arial"/>
              </w:rPr>
            </w:pPr>
          </w:p>
        </w:tc>
      </w:tr>
      <w:tr w:rsidR="007A63E4" w14:paraId="6CD9EF84" w14:textId="77777777" w:rsidTr="007A63E4">
        <w:tc>
          <w:tcPr>
            <w:tcW w:w="2405" w:type="dxa"/>
          </w:tcPr>
          <w:p w14:paraId="3F2F563D" w14:textId="7BD86639" w:rsidR="007A63E4" w:rsidRPr="004C06BE" w:rsidRDefault="007A63E4" w:rsidP="002F658E">
            <w:pPr>
              <w:rPr>
                <w:rFonts w:cs="Arial"/>
              </w:rPr>
            </w:pPr>
            <w:r w:rsidRPr="004C06BE">
              <w:rPr>
                <w:rFonts w:cs="Arial"/>
              </w:rPr>
              <w:t>Citizens Advice Bureau</w:t>
            </w:r>
          </w:p>
        </w:tc>
        <w:tc>
          <w:tcPr>
            <w:tcW w:w="6611" w:type="dxa"/>
          </w:tcPr>
          <w:p w14:paraId="40026564" w14:textId="77777777" w:rsidR="007A63E4" w:rsidRPr="000D0592" w:rsidRDefault="007A63E4" w:rsidP="007A63E4">
            <w:pPr>
              <w:rPr>
                <w:rFonts w:cs="Arial"/>
              </w:rPr>
            </w:pPr>
            <w:r w:rsidRPr="000D0592">
              <w:rPr>
                <w:rFonts w:cs="Arial"/>
              </w:rPr>
              <w:t xml:space="preserve">Provides UK citizens with information about healthcare rights, including how to make a complaint about care received. </w:t>
            </w:r>
          </w:p>
          <w:p w14:paraId="160C31A9" w14:textId="77777777" w:rsidR="007A63E4" w:rsidRPr="000D0592" w:rsidRDefault="007A63E4" w:rsidP="007A63E4">
            <w:pPr>
              <w:rPr>
                <w:rFonts w:cs="Arial"/>
              </w:rPr>
            </w:pPr>
          </w:p>
        </w:tc>
      </w:tr>
    </w:tbl>
    <w:p w14:paraId="22FCDD54" w14:textId="4A9E2098" w:rsidR="002F0A56" w:rsidRPr="007A63E4" w:rsidRDefault="002F0A56" w:rsidP="00E74AF1">
      <w:pPr>
        <w:rPr>
          <w:rFonts w:cs="Arial"/>
        </w:rPr>
      </w:pPr>
      <w:bookmarkStart w:id="16" w:name="_Toc97734154"/>
    </w:p>
    <w:p w14:paraId="191989EB" w14:textId="365AD06E" w:rsidR="00C34FC2" w:rsidRPr="0065785B" w:rsidRDefault="00C34FC2" w:rsidP="00FC3C5A">
      <w:pPr>
        <w:pStyle w:val="Heading2"/>
        <w:rPr>
          <w:sz w:val="22"/>
          <w:szCs w:val="22"/>
        </w:rPr>
      </w:pPr>
      <w:bookmarkStart w:id="17" w:name="_Toc204783823"/>
      <w:r w:rsidRPr="0065785B">
        <w:rPr>
          <w:sz w:val="22"/>
          <w:szCs w:val="22"/>
        </w:rPr>
        <w:t xml:space="preserve">Patient </w:t>
      </w:r>
      <w:r w:rsidR="0065785B" w:rsidRPr="0065785B">
        <w:rPr>
          <w:sz w:val="22"/>
          <w:szCs w:val="22"/>
        </w:rPr>
        <w:t>S</w:t>
      </w:r>
      <w:r w:rsidRPr="0065785B">
        <w:rPr>
          <w:sz w:val="22"/>
          <w:szCs w:val="22"/>
        </w:rPr>
        <w:t xml:space="preserve">afety </w:t>
      </w:r>
      <w:r w:rsidR="0065785B" w:rsidRPr="0065785B">
        <w:rPr>
          <w:sz w:val="22"/>
          <w:szCs w:val="22"/>
        </w:rPr>
        <w:t>I</w:t>
      </w:r>
      <w:r w:rsidRPr="0065785B">
        <w:rPr>
          <w:sz w:val="22"/>
          <w:szCs w:val="22"/>
        </w:rPr>
        <w:t>ncident</w:t>
      </w:r>
      <w:bookmarkEnd w:id="16"/>
      <w:r w:rsidRPr="0065785B">
        <w:rPr>
          <w:sz w:val="22"/>
          <w:szCs w:val="22"/>
        </w:rPr>
        <w:t xml:space="preserve"> </w:t>
      </w:r>
      <w:r w:rsidR="0065785B" w:rsidRPr="0065785B">
        <w:rPr>
          <w:sz w:val="22"/>
          <w:szCs w:val="22"/>
        </w:rPr>
        <w:t>R</w:t>
      </w:r>
      <w:r w:rsidRPr="0065785B">
        <w:rPr>
          <w:sz w:val="22"/>
          <w:szCs w:val="22"/>
        </w:rPr>
        <w:t xml:space="preserve">esponse </w:t>
      </w:r>
      <w:r w:rsidR="0065785B" w:rsidRPr="0065785B">
        <w:rPr>
          <w:sz w:val="22"/>
          <w:szCs w:val="22"/>
        </w:rPr>
        <w:t>P</w:t>
      </w:r>
      <w:r w:rsidRPr="0065785B">
        <w:rPr>
          <w:sz w:val="22"/>
          <w:szCs w:val="22"/>
        </w:rPr>
        <w:t>lanning</w:t>
      </w:r>
      <w:bookmarkEnd w:id="17"/>
    </w:p>
    <w:p w14:paraId="03CCB9BE" w14:textId="77777777" w:rsidR="00C34FC2" w:rsidRPr="0065785B" w:rsidRDefault="00C34FC2" w:rsidP="00C34FC2">
      <w:pPr>
        <w:rPr>
          <w:rFonts w:cs="Arial"/>
        </w:rPr>
      </w:pPr>
      <w:r w:rsidRPr="0065785B">
        <w:rPr>
          <w:rFonts w:cs="Arial"/>
        </w:rPr>
        <w:t xml:space="preserve">PSIRF supports organisations to respond to incidents and safety issues in a way that maximises learning and improvement, rather than basing responses on arbitrary and subjective definitions of harm. Beyond nationally set requirements, organisations can explore patient safety incidents relevant to their context and the populations they serve rather than only those that meet a certain defined threshold. </w:t>
      </w:r>
    </w:p>
    <w:p w14:paraId="5FFE586E" w14:textId="77777777" w:rsidR="00C34FC2" w:rsidRPr="0065785B" w:rsidRDefault="00C34FC2" w:rsidP="00C34FC2">
      <w:pPr>
        <w:rPr>
          <w:rFonts w:cs="Arial"/>
        </w:rPr>
      </w:pPr>
      <w:r w:rsidRPr="0065785B">
        <w:rPr>
          <w:rFonts w:cs="Arial"/>
        </w:rPr>
        <w:t>FCMS will take a proportionate approach to its response to patient safety events, ensuring the focus is on maximising improvement. To fulfil this, we will proactively undertake planning of our current resources for patient safety learning response and our existing safety improvement workstreams.</w:t>
      </w:r>
    </w:p>
    <w:p w14:paraId="2D11308B" w14:textId="51367614" w:rsidR="007E0B52" w:rsidRPr="006844DE" w:rsidRDefault="007E0B52" w:rsidP="00FC3C5A">
      <w:pPr>
        <w:pStyle w:val="Heading2"/>
        <w:rPr>
          <w:b/>
          <w:sz w:val="22"/>
          <w:szCs w:val="22"/>
        </w:rPr>
      </w:pPr>
      <w:bookmarkStart w:id="18" w:name="_Toc204783824"/>
      <w:bookmarkStart w:id="19" w:name="_Toc63780480"/>
      <w:r w:rsidRPr="006844DE">
        <w:rPr>
          <w:sz w:val="22"/>
          <w:szCs w:val="22"/>
        </w:rPr>
        <w:t xml:space="preserve">Resources and </w:t>
      </w:r>
      <w:r w:rsidR="00867CEB">
        <w:rPr>
          <w:sz w:val="22"/>
          <w:szCs w:val="22"/>
        </w:rPr>
        <w:t>T</w:t>
      </w:r>
      <w:r w:rsidRPr="006844DE">
        <w:rPr>
          <w:sz w:val="22"/>
          <w:szCs w:val="22"/>
        </w:rPr>
        <w:t xml:space="preserve">raining to support </w:t>
      </w:r>
      <w:r w:rsidR="00867CEB">
        <w:rPr>
          <w:sz w:val="22"/>
          <w:szCs w:val="22"/>
        </w:rPr>
        <w:t>P</w:t>
      </w:r>
      <w:r w:rsidRPr="006844DE">
        <w:rPr>
          <w:sz w:val="22"/>
          <w:szCs w:val="22"/>
        </w:rPr>
        <w:t xml:space="preserve">atient </w:t>
      </w:r>
      <w:r w:rsidR="00867CEB">
        <w:rPr>
          <w:sz w:val="22"/>
          <w:szCs w:val="22"/>
        </w:rPr>
        <w:t>S</w:t>
      </w:r>
      <w:r w:rsidRPr="006844DE">
        <w:rPr>
          <w:sz w:val="22"/>
          <w:szCs w:val="22"/>
        </w:rPr>
        <w:t xml:space="preserve">afety </w:t>
      </w:r>
      <w:r w:rsidR="00867CEB">
        <w:rPr>
          <w:sz w:val="22"/>
          <w:szCs w:val="22"/>
        </w:rPr>
        <w:t>I</w:t>
      </w:r>
      <w:r w:rsidRPr="006844DE">
        <w:rPr>
          <w:sz w:val="22"/>
          <w:szCs w:val="22"/>
        </w:rPr>
        <w:t xml:space="preserve">ncident </w:t>
      </w:r>
      <w:r w:rsidR="00867CEB">
        <w:rPr>
          <w:sz w:val="22"/>
          <w:szCs w:val="22"/>
        </w:rPr>
        <w:t>R</w:t>
      </w:r>
      <w:r w:rsidRPr="006844DE">
        <w:rPr>
          <w:sz w:val="22"/>
          <w:szCs w:val="22"/>
        </w:rPr>
        <w:t>esponse</w:t>
      </w:r>
      <w:bookmarkEnd w:id="18"/>
    </w:p>
    <w:p w14:paraId="7F4B4010" w14:textId="5B28E729" w:rsidR="00635CE8" w:rsidRPr="006844DE" w:rsidRDefault="00635CE8" w:rsidP="00635CE8">
      <w:pPr>
        <w:rPr>
          <w:rFonts w:cs="Arial"/>
        </w:rPr>
      </w:pPr>
      <w:r w:rsidRPr="006844DE">
        <w:rPr>
          <w:rFonts w:cs="Arial"/>
        </w:rPr>
        <w:t>FCMS has committed to ensuring that we fully embed PSIRF and meet the national training requirements. We have utilised NHS England Patient Safety Response Standards (2022)</w:t>
      </w:r>
      <w:r w:rsidR="008911D7" w:rsidRPr="006844DE">
        <w:rPr>
          <w:rFonts w:cs="Arial"/>
        </w:rPr>
        <w:t>,</w:t>
      </w:r>
      <w:r w:rsidRPr="006844DE">
        <w:rPr>
          <w:rFonts w:cs="Arial"/>
        </w:rPr>
        <w:t xml:space="preserve"> to provide resources and the training required for this to happen. </w:t>
      </w:r>
    </w:p>
    <w:p w14:paraId="04E59430" w14:textId="78AD9C00" w:rsidR="00635CE8" w:rsidRPr="006844DE" w:rsidRDefault="00635CE8" w:rsidP="00635CE8">
      <w:pPr>
        <w:rPr>
          <w:rFonts w:cs="Arial"/>
        </w:rPr>
      </w:pPr>
      <w:r w:rsidRPr="006844DE">
        <w:rPr>
          <w:rFonts w:cs="Arial"/>
        </w:rPr>
        <w:t xml:space="preserve">We have governance arrangements in place to ensure patient safety learning responses are not led by </w:t>
      </w:r>
      <w:r w:rsidR="00047A3D" w:rsidRPr="006844DE">
        <w:rPr>
          <w:rFonts w:cs="Arial"/>
        </w:rPr>
        <w:t>our</w:t>
      </w:r>
      <w:r w:rsidRPr="006844DE">
        <w:rPr>
          <w:rFonts w:cs="Arial"/>
        </w:rPr>
        <w:t xml:space="preserve"> staff who were involved in the patient safety event itself. Responsibility for patient safety learning responses from our locally agreed priorities sits with </w:t>
      </w:r>
      <w:r w:rsidR="008855D0" w:rsidRPr="006844DE">
        <w:rPr>
          <w:rFonts w:cs="Arial"/>
        </w:rPr>
        <w:t>our</w:t>
      </w:r>
      <w:r w:rsidRPr="006844DE">
        <w:rPr>
          <w:rFonts w:cs="Arial"/>
        </w:rPr>
        <w:t xml:space="preserve"> Patient Safety Incident Response Team. </w:t>
      </w:r>
    </w:p>
    <w:p w14:paraId="767297FA" w14:textId="7A7F4221" w:rsidR="00635CE8" w:rsidRPr="006844DE" w:rsidRDefault="00635CE8" w:rsidP="00635CE8">
      <w:pPr>
        <w:rPr>
          <w:rFonts w:cs="Arial"/>
        </w:rPr>
      </w:pPr>
      <w:r w:rsidRPr="006844DE">
        <w:rPr>
          <w:rFonts w:cs="Arial"/>
        </w:rPr>
        <w:t xml:space="preserve">Patient Safety Learning Responses (PSLRs) sitting outside of our priorities will be led by a suitable senior leader within the relevant service </w:t>
      </w:r>
      <w:r w:rsidR="008855D0" w:rsidRPr="006844DE">
        <w:rPr>
          <w:rFonts w:cs="Arial"/>
        </w:rPr>
        <w:t>business unit</w:t>
      </w:r>
      <w:r w:rsidRPr="006844DE">
        <w:rPr>
          <w:rFonts w:cs="Arial"/>
        </w:rPr>
        <w:t xml:space="preserve">. Patient Safety Incident Learning Response Leads will have an appropriate level of seniority to influence within </w:t>
      </w:r>
      <w:r w:rsidR="0094784E" w:rsidRPr="006844DE">
        <w:rPr>
          <w:rFonts w:cs="Arial"/>
        </w:rPr>
        <w:t>FCMS</w:t>
      </w:r>
      <w:r w:rsidR="00265604" w:rsidRPr="006844DE">
        <w:rPr>
          <w:rFonts w:cs="Arial"/>
        </w:rPr>
        <w:t xml:space="preserve"> such as our clinical managers</w:t>
      </w:r>
      <w:r w:rsidRPr="006844DE">
        <w:rPr>
          <w:rFonts w:cs="Arial"/>
        </w:rPr>
        <w:t xml:space="preserve">, this may depend on the nature and complexity of the patient safety event and the learning response required. </w:t>
      </w:r>
    </w:p>
    <w:p w14:paraId="253D47E9" w14:textId="32688C8F" w:rsidR="00635CE8" w:rsidRPr="006844DE" w:rsidRDefault="00635CE8" w:rsidP="00635CE8">
      <w:pPr>
        <w:rPr>
          <w:rFonts w:cs="Arial"/>
        </w:rPr>
      </w:pPr>
      <w:r w:rsidRPr="006844DE">
        <w:rPr>
          <w:rFonts w:cs="Arial"/>
        </w:rPr>
        <w:t xml:space="preserve">The governance arrangements will ensure patient safety learning responses are not undertaken by staff working in isolation. </w:t>
      </w:r>
      <w:r w:rsidR="0094784E" w:rsidRPr="006844DE">
        <w:rPr>
          <w:rFonts w:cs="Arial"/>
        </w:rPr>
        <w:t xml:space="preserve">The </w:t>
      </w:r>
      <w:r w:rsidRPr="006844DE">
        <w:rPr>
          <w:rFonts w:cs="Arial"/>
        </w:rPr>
        <w:t xml:space="preserve">Patient Safety Incident Response Team will support patient safety learning responses wherever possible and can provide advice on cross-system and cross-area working where this is required. </w:t>
      </w:r>
    </w:p>
    <w:p w14:paraId="3AFC7350" w14:textId="52CF5874" w:rsidR="00635CE8" w:rsidRPr="006844DE" w:rsidRDefault="00635CE8" w:rsidP="00635CE8">
      <w:pPr>
        <w:rPr>
          <w:rFonts w:cs="Arial"/>
        </w:rPr>
      </w:pPr>
      <w:r w:rsidRPr="006844DE">
        <w:rPr>
          <w:rFonts w:cs="Arial"/>
        </w:rPr>
        <w:lastRenderedPageBreak/>
        <w:t xml:space="preserve">Our people affected by patient safety events will be afforded the necessary support and given time to participate in patient safety learning responses. All </w:t>
      </w:r>
      <w:r w:rsidR="00EC3F64" w:rsidRPr="006844DE">
        <w:rPr>
          <w:rFonts w:cs="Arial"/>
        </w:rPr>
        <w:t>FCMS</w:t>
      </w:r>
      <w:r w:rsidRPr="006844DE">
        <w:rPr>
          <w:rFonts w:cs="Arial"/>
        </w:rPr>
        <w:t xml:space="preserve"> leaders will work within our just culture principles and utilise other teams to ensure our people are supported. </w:t>
      </w:r>
      <w:r w:rsidR="00EC3F64" w:rsidRPr="006844DE">
        <w:rPr>
          <w:rFonts w:cs="Arial"/>
        </w:rPr>
        <w:t>FCMS</w:t>
      </w:r>
      <w:r w:rsidRPr="006844DE">
        <w:rPr>
          <w:rFonts w:cs="Arial"/>
        </w:rPr>
        <w:t xml:space="preserve"> service lines will ensure processes are adopted so leaders work within this framework to ensure psychological safety. </w:t>
      </w:r>
    </w:p>
    <w:p w14:paraId="39EAF3A2" w14:textId="01E08A59" w:rsidR="00635CE8" w:rsidRPr="006844DE" w:rsidRDefault="00635CE8" w:rsidP="00635CE8">
      <w:pPr>
        <w:rPr>
          <w:rFonts w:cs="Arial"/>
        </w:rPr>
      </w:pPr>
      <w:r w:rsidRPr="006844DE">
        <w:rPr>
          <w:rFonts w:cs="Arial"/>
        </w:rPr>
        <w:t>We will utilise both internal and (where necessary) external subject matter experts with relevant experience, knowledge, and skills.</w:t>
      </w:r>
    </w:p>
    <w:p w14:paraId="4DE48B6F" w14:textId="7873702B" w:rsidR="000363CE" w:rsidRPr="00867CEB" w:rsidRDefault="000363CE" w:rsidP="00FC3C5A">
      <w:pPr>
        <w:pStyle w:val="Heading2"/>
        <w:rPr>
          <w:sz w:val="22"/>
          <w:szCs w:val="22"/>
        </w:rPr>
      </w:pPr>
      <w:bookmarkStart w:id="20" w:name="_Toc204783825"/>
      <w:r w:rsidRPr="00867CEB">
        <w:rPr>
          <w:sz w:val="22"/>
          <w:szCs w:val="22"/>
        </w:rPr>
        <w:t>Training</w:t>
      </w:r>
      <w:bookmarkEnd w:id="20"/>
      <w:r w:rsidRPr="00867CEB">
        <w:rPr>
          <w:sz w:val="22"/>
          <w:szCs w:val="22"/>
        </w:rPr>
        <w:t xml:space="preserve"> </w:t>
      </w:r>
    </w:p>
    <w:p w14:paraId="3E215D08" w14:textId="77233318" w:rsidR="00D1747F" w:rsidRPr="00A9738F" w:rsidRDefault="00A9738F" w:rsidP="00635CE8">
      <w:pPr>
        <w:rPr>
          <w:rFonts w:cs="Arial"/>
        </w:rPr>
      </w:pPr>
      <w:r>
        <w:rPr>
          <w:rFonts w:cs="Arial"/>
        </w:rPr>
        <w:t xml:space="preserve">NHS England’s Patient Safety </w:t>
      </w:r>
      <w:r w:rsidR="00C54F1A">
        <w:rPr>
          <w:rFonts w:cs="Arial"/>
        </w:rPr>
        <w:t>Incident Response Standards</w:t>
      </w:r>
      <w:r w:rsidR="00D1747F" w:rsidRPr="00A9738F">
        <w:rPr>
          <w:rFonts w:cs="Arial"/>
        </w:rPr>
        <w:t xml:space="preserve"> describe how patient safety incident responses should be resourced, including the training and competencies</w:t>
      </w:r>
      <w:r w:rsidR="00BB6887" w:rsidRPr="00A9738F">
        <w:rPr>
          <w:rFonts w:cs="Arial"/>
        </w:rPr>
        <w:t xml:space="preserve"> of</w:t>
      </w:r>
      <w:r w:rsidR="00D1747F" w:rsidRPr="00A9738F">
        <w:rPr>
          <w:rFonts w:cs="Arial"/>
        </w:rPr>
        <w:t xml:space="preserve"> those undertaking these responses </w:t>
      </w:r>
      <w:r w:rsidR="00BB6887" w:rsidRPr="00A9738F">
        <w:rPr>
          <w:rFonts w:cs="Arial"/>
        </w:rPr>
        <w:t xml:space="preserve">and what they </w:t>
      </w:r>
      <w:r w:rsidR="00D1747F" w:rsidRPr="00A9738F">
        <w:rPr>
          <w:rFonts w:cs="Arial"/>
        </w:rPr>
        <w:t xml:space="preserve">require. </w:t>
      </w:r>
    </w:p>
    <w:p w14:paraId="38F2097E" w14:textId="40CEC248" w:rsidR="002F0B82" w:rsidRPr="00A9738F" w:rsidRDefault="002F0B82" w:rsidP="002F0B82">
      <w:pPr>
        <w:pStyle w:val="Default"/>
        <w:rPr>
          <w:sz w:val="22"/>
          <w:szCs w:val="22"/>
        </w:rPr>
      </w:pPr>
      <w:r w:rsidRPr="00A9738F">
        <w:rPr>
          <w:sz w:val="22"/>
          <w:szCs w:val="22"/>
        </w:rPr>
        <w:t>FCMS</w:t>
      </w:r>
      <w:r w:rsidRPr="00A9738F">
        <w:rPr>
          <w:b/>
          <w:bCs/>
          <w:sz w:val="22"/>
          <w:szCs w:val="22"/>
        </w:rPr>
        <w:t xml:space="preserve"> </w:t>
      </w:r>
      <w:r w:rsidR="00166A89" w:rsidRPr="00A9738F">
        <w:rPr>
          <w:sz w:val="22"/>
          <w:szCs w:val="22"/>
        </w:rPr>
        <w:t>has produced in-house training tailored to the organisation’s approach to PSIRF</w:t>
      </w:r>
      <w:r w:rsidR="00B07342" w:rsidRPr="00A9738F">
        <w:rPr>
          <w:sz w:val="22"/>
          <w:szCs w:val="22"/>
        </w:rPr>
        <w:t xml:space="preserve">, which are delivered to </w:t>
      </w:r>
      <w:proofErr w:type="gramStart"/>
      <w:r w:rsidR="00B07342" w:rsidRPr="00A9738F">
        <w:rPr>
          <w:sz w:val="22"/>
          <w:szCs w:val="22"/>
        </w:rPr>
        <w:t>all of</w:t>
      </w:r>
      <w:proofErr w:type="gramEnd"/>
      <w:r w:rsidR="00B07342" w:rsidRPr="00A9738F">
        <w:rPr>
          <w:sz w:val="22"/>
          <w:szCs w:val="22"/>
        </w:rPr>
        <w:t xml:space="preserve"> those leaders who may lead on a patient safety incident response.</w:t>
      </w:r>
      <w:r w:rsidRPr="00A9738F">
        <w:rPr>
          <w:sz w:val="22"/>
          <w:szCs w:val="22"/>
        </w:rPr>
        <w:t xml:space="preserve"> </w:t>
      </w:r>
      <w:r w:rsidR="000D784C" w:rsidRPr="00A9738F">
        <w:rPr>
          <w:sz w:val="22"/>
          <w:szCs w:val="22"/>
        </w:rPr>
        <w:t xml:space="preserve">Tailored training will also be produced for </w:t>
      </w:r>
      <w:proofErr w:type="gramStart"/>
      <w:r w:rsidR="000D784C" w:rsidRPr="00A9738F">
        <w:rPr>
          <w:sz w:val="22"/>
          <w:szCs w:val="22"/>
        </w:rPr>
        <w:t>all of</w:t>
      </w:r>
      <w:proofErr w:type="gramEnd"/>
      <w:r w:rsidR="000D784C" w:rsidRPr="00A9738F">
        <w:rPr>
          <w:sz w:val="22"/>
          <w:szCs w:val="22"/>
        </w:rPr>
        <w:t xml:space="preserve"> our operational and clinical staff to ensure that they have the appropriate awareness and understanding of </w:t>
      </w:r>
      <w:r w:rsidR="00A9738F" w:rsidRPr="00A9738F">
        <w:rPr>
          <w:sz w:val="22"/>
          <w:szCs w:val="22"/>
        </w:rPr>
        <w:t xml:space="preserve">the principles of PSIRF, and what to expect should they ever be involved in a Patient Safety Event or associated learning response. </w:t>
      </w:r>
      <w:r w:rsidR="00367BA4" w:rsidRPr="00A9738F">
        <w:rPr>
          <w:sz w:val="22"/>
          <w:szCs w:val="22"/>
        </w:rPr>
        <w:t xml:space="preserve">We have also asked staff to complete the relevant HSSIB modules online that are relevant to their role. </w:t>
      </w:r>
    </w:p>
    <w:p w14:paraId="37F66F0E" w14:textId="77777777" w:rsidR="00A9738F" w:rsidRPr="00A9738F" w:rsidRDefault="00A9738F" w:rsidP="002F0B82">
      <w:pPr>
        <w:pStyle w:val="Default"/>
        <w:rPr>
          <w:sz w:val="22"/>
          <w:szCs w:val="22"/>
        </w:rPr>
      </w:pPr>
    </w:p>
    <w:p w14:paraId="033467A2" w14:textId="7872177E" w:rsidR="002F0B82" w:rsidRPr="00A9738F" w:rsidRDefault="002F0B82" w:rsidP="002F0B82">
      <w:pPr>
        <w:rPr>
          <w:rFonts w:cs="Arial"/>
          <w:b/>
          <w:bCs/>
        </w:rPr>
      </w:pPr>
      <w:r w:rsidRPr="00A9738F">
        <w:rPr>
          <w:rFonts w:cs="Arial"/>
        </w:rPr>
        <w:t xml:space="preserve">A training needs </w:t>
      </w:r>
      <w:r w:rsidR="00F9136A" w:rsidRPr="00A9738F">
        <w:rPr>
          <w:rFonts w:cs="Arial"/>
        </w:rPr>
        <w:t>analysis has been</w:t>
      </w:r>
      <w:r w:rsidRPr="00A9738F">
        <w:rPr>
          <w:rFonts w:cs="Arial"/>
        </w:rPr>
        <w:t xml:space="preserve"> developed </w:t>
      </w:r>
      <w:r w:rsidR="00F9136A" w:rsidRPr="00A9738F">
        <w:rPr>
          <w:rFonts w:cs="Arial"/>
        </w:rPr>
        <w:t xml:space="preserve">as per our PSIRF plan </w:t>
      </w:r>
      <w:r w:rsidRPr="00A9738F">
        <w:rPr>
          <w:rFonts w:cs="Arial"/>
        </w:rPr>
        <w:t>and will be monitored on an ongoing basis, to ensure those with responsibility for, responding to and supporting patient safety events remains up-to date. This training will be delivered alongside a</w:t>
      </w:r>
      <w:r w:rsidR="00E02A4C" w:rsidRPr="00A9738F">
        <w:rPr>
          <w:rFonts w:cs="Arial"/>
        </w:rPr>
        <w:t xml:space="preserve"> </w:t>
      </w:r>
      <w:r w:rsidRPr="00A9738F">
        <w:rPr>
          <w:rFonts w:cs="Arial"/>
        </w:rPr>
        <w:t>programme of safety skills training</w:t>
      </w:r>
      <w:r w:rsidR="00E02A4C" w:rsidRPr="00A9738F">
        <w:rPr>
          <w:rFonts w:cs="Arial"/>
        </w:rPr>
        <w:t>.</w:t>
      </w:r>
      <w:r w:rsidR="00EB4171" w:rsidRPr="00A9738F">
        <w:rPr>
          <w:rFonts w:cs="Arial"/>
        </w:rPr>
        <w:t xml:space="preserve"> Local Governance </w:t>
      </w:r>
      <w:r w:rsidR="00F43116" w:rsidRPr="00A9738F">
        <w:rPr>
          <w:rFonts w:cs="Arial"/>
        </w:rPr>
        <w:t xml:space="preserve">leads and clinical managers will be responsible in each unit for PSIRF implementation and will be involved </w:t>
      </w:r>
      <w:r w:rsidR="00E45DC3" w:rsidRPr="00A9738F">
        <w:rPr>
          <w:rFonts w:cs="Arial"/>
        </w:rPr>
        <w:t xml:space="preserve">and engaged with </w:t>
      </w:r>
      <w:r w:rsidR="00DF4861" w:rsidRPr="00A9738F">
        <w:rPr>
          <w:rFonts w:cs="Arial"/>
        </w:rPr>
        <w:t>PSIRF.</w:t>
      </w:r>
      <w:r w:rsidR="00F43116" w:rsidRPr="00A9738F">
        <w:rPr>
          <w:rFonts w:cs="Arial"/>
        </w:rPr>
        <w:t xml:space="preserve"> </w:t>
      </w:r>
      <w:r w:rsidR="00E45DC3" w:rsidRPr="00A9738F">
        <w:rPr>
          <w:rFonts w:cs="Arial"/>
        </w:rPr>
        <w:t xml:space="preserve">Oversight with be provided by the senior clinical leadership team and exec board members that are responsible for PSIRF. </w:t>
      </w:r>
      <w:r w:rsidR="00633CC5" w:rsidRPr="00A9738F">
        <w:rPr>
          <w:rFonts w:cs="Arial"/>
        </w:rPr>
        <w:t xml:space="preserve">They will also undertake and complete the relevant training needed for their roles. </w:t>
      </w:r>
      <w:r w:rsidR="00E45DC3" w:rsidRPr="00A9738F">
        <w:rPr>
          <w:rFonts w:cs="Arial"/>
        </w:rPr>
        <w:t xml:space="preserve"> </w:t>
      </w:r>
    </w:p>
    <w:p w14:paraId="6FBF0A22" w14:textId="2FB997E6" w:rsidR="00E24AAF" w:rsidRPr="00A43F1D" w:rsidRDefault="004443C8" w:rsidP="00FC3C5A">
      <w:pPr>
        <w:pStyle w:val="Heading2"/>
        <w:rPr>
          <w:sz w:val="22"/>
          <w:szCs w:val="22"/>
        </w:rPr>
      </w:pPr>
      <w:bookmarkStart w:id="21" w:name="_Toc204783826"/>
      <w:bookmarkEnd w:id="19"/>
      <w:r w:rsidRPr="00A43F1D">
        <w:rPr>
          <w:sz w:val="22"/>
          <w:szCs w:val="22"/>
        </w:rPr>
        <w:t xml:space="preserve">Our </w:t>
      </w:r>
      <w:r w:rsidR="00984664" w:rsidRPr="00A43F1D">
        <w:rPr>
          <w:sz w:val="22"/>
          <w:szCs w:val="22"/>
        </w:rPr>
        <w:t>P</w:t>
      </w:r>
      <w:r w:rsidRPr="00A43F1D">
        <w:rPr>
          <w:sz w:val="22"/>
          <w:szCs w:val="22"/>
        </w:rPr>
        <w:t xml:space="preserve">atient </w:t>
      </w:r>
      <w:r w:rsidR="00984664" w:rsidRPr="00A43F1D">
        <w:rPr>
          <w:sz w:val="22"/>
          <w:szCs w:val="22"/>
        </w:rPr>
        <w:t>S</w:t>
      </w:r>
      <w:r w:rsidRPr="00A43F1D">
        <w:rPr>
          <w:sz w:val="22"/>
          <w:szCs w:val="22"/>
        </w:rPr>
        <w:t xml:space="preserve">afety </w:t>
      </w:r>
      <w:r w:rsidR="00984664" w:rsidRPr="00A43F1D">
        <w:rPr>
          <w:sz w:val="22"/>
          <w:szCs w:val="22"/>
        </w:rPr>
        <w:t>I</w:t>
      </w:r>
      <w:r w:rsidRPr="00A43F1D">
        <w:rPr>
          <w:sz w:val="22"/>
          <w:szCs w:val="22"/>
        </w:rPr>
        <w:t xml:space="preserve">ncident </w:t>
      </w:r>
      <w:r w:rsidR="00984664" w:rsidRPr="00A43F1D">
        <w:rPr>
          <w:sz w:val="22"/>
          <w:szCs w:val="22"/>
        </w:rPr>
        <w:t>R</w:t>
      </w:r>
      <w:r w:rsidRPr="00A43F1D">
        <w:rPr>
          <w:sz w:val="22"/>
          <w:szCs w:val="22"/>
        </w:rPr>
        <w:t xml:space="preserve">esponse </w:t>
      </w:r>
      <w:r w:rsidR="00984664" w:rsidRPr="00A43F1D">
        <w:rPr>
          <w:sz w:val="22"/>
          <w:szCs w:val="22"/>
        </w:rPr>
        <w:t>P</w:t>
      </w:r>
      <w:r w:rsidRPr="00A43F1D">
        <w:rPr>
          <w:sz w:val="22"/>
          <w:szCs w:val="22"/>
        </w:rPr>
        <w:t>lan</w:t>
      </w:r>
      <w:r w:rsidR="00984664" w:rsidRPr="00A43F1D">
        <w:rPr>
          <w:sz w:val="22"/>
          <w:szCs w:val="22"/>
        </w:rPr>
        <w:t xml:space="preserve"> (PSIRP)</w:t>
      </w:r>
      <w:bookmarkEnd w:id="21"/>
    </w:p>
    <w:p w14:paraId="34DB0BBB" w14:textId="1C6C0D6B" w:rsidR="009D0879" w:rsidRPr="00A43F1D" w:rsidRDefault="009D0879" w:rsidP="009D0879">
      <w:pPr>
        <w:rPr>
          <w:rFonts w:cs="Arial"/>
        </w:rPr>
      </w:pPr>
      <w:r w:rsidRPr="00A43F1D">
        <w:rPr>
          <w:rFonts w:cs="Arial"/>
        </w:rPr>
        <w:t xml:space="preserve">Our PSIRP sets out how FCMS intends to respond to patient safety events over a 12-to-18-month period. The plan is not a permanent set of rules that cannot be changed. We will remain flexible and consider the specific circumstances in which each patient safety event occurred, and the needs of those affected as well as the plan. </w:t>
      </w:r>
    </w:p>
    <w:p w14:paraId="7FB16C2F" w14:textId="4D27433B" w:rsidR="009D0879" w:rsidRPr="00A43F1D" w:rsidRDefault="009D0879" w:rsidP="009D0879">
      <w:pPr>
        <w:rPr>
          <w:rFonts w:cs="Arial"/>
        </w:rPr>
      </w:pPr>
      <w:r w:rsidRPr="00A43F1D">
        <w:rPr>
          <w:rFonts w:cs="Arial"/>
        </w:rPr>
        <w:t>A copy of our PSIRP can be located on both our internal platform</w:t>
      </w:r>
      <w:r w:rsidR="00A40EBF" w:rsidRPr="00A43F1D">
        <w:rPr>
          <w:rFonts w:cs="Arial"/>
        </w:rPr>
        <w:t xml:space="preserve"> via the intranet - policies </w:t>
      </w:r>
      <w:r w:rsidR="001622DD" w:rsidRPr="00A43F1D">
        <w:rPr>
          <w:rFonts w:cs="Arial"/>
        </w:rPr>
        <w:t>section,</w:t>
      </w:r>
      <w:r w:rsidRPr="00A43F1D">
        <w:rPr>
          <w:rFonts w:cs="Arial"/>
        </w:rPr>
        <w:t xml:space="preserve"> and</w:t>
      </w:r>
      <w:r w:rsidR="00A43F1D" w:rsidRPr="00A43F1D">
        <w:rPr>
          <w:rFonts w:cs="Arial"/>
        </w:rPr>
        <w:t xml:space="preserve"> on</w:t>
      </w:r>
      <w:r w:rsidRPr="00A43F1D">
        <w:rPr>
          <w:rFonts w:cs="Arial"/>
        </w:rPr>
        <w:t xml:space="preserve"> our website.</w:t>
      </w:r>
    </w:p>
    <w:p w14:paraId="2FB6679B" w14:textId="5488945D" w:rsidR="00E303FE" w:rsidRPr="00A43F1D" w:rsidRDefault="00E303FE" w:rsidP="00FC3C5A">
      <w:pPr>
        <w:pStyle w:val="Heading2"/>
        <w:rPr>
          <w:sz w:val="22"/>
          <w:szCs w:val="22"/>
        </w:rPr>
      </w:pPr>
      <w:bookmarkStart w:id="22" w:name="_Toc204783827"/>
      <w:r w:rsidRPr="00A43F1D">
        <w:rPr>
          <w:sz w:val="22"/>
          <w:szCs w:val="22"/>
        </w:rPr>
        <w:t xml:space="preserve">Reviewing our </w:t>
      </w:r>
      <w:r w:rsidR="00984664" w:rsidRPr="00A43F1D">
        <w:rPr>
          <w:sz w:val="22"/>
          <w:szCs w:val="22"/>
        </w:rPr>
        <w:t>P</w:t>
      </w:r>
      <w:r w:rsidRPr="00A43F1D">
        <w:rPr>
          <w:sz w:val="22"/>
          <w:szCs w:val="22"/>
        </w:rPr>
        <w:t xml:space="preserve">atient </w:t>
      </w:r>
      <w:r w:rsidR="00984664" w:rsidRPr="00A43F1D">
        <w:rPr>
          <w:sz w:val="22"/>
          <w:szCs w:val="22"/>
        </w:rPr>
        <w:t>S</w:t>
      </w:r>
      <w:r w:rsidRPr="00A43F1D">
        <w:rPr>
          <w:sz w:val="22"/>
          <w:szCs w:val="22"/>
        </w:rPr>
        <w:t xml:space="preserve">afety </w:t>
      </w:r>
      <w:r w:rsidR="00984664" w:rsidRPr="00A43F1D">
        <w:rPr>
          <w:sz w:val="22"/>
          <w:szCs w:val="22"/>
        </w:rPr>
        <w:t>I</w:t>
      </w:r>
      <w:r w:rsidRPr="00A43F1D">
        <w:rPr>
          <w:sz w:val="22"/>
          <w:szCs w:val="22"/>
        </w:rPr>
        <w:t xml:space="preserve">ncident </w:t>
      </w:r>
      <w:r w:rsidR="00984664" w:rsidRPr="00A43F1D">
        <w:rPr>
          <w:sz w:val="22"/>
          <w:szCs w:val="22"/>
        </w:rPr>
        <w:t>R</w:t>
      </w:r>
      <w:r w:rsidRPr="00A43F1D">
        <w:rPr>
          <w:sz w:val="22"/>
          <w:szCs w:val="22"/>
        </w:rPr>
        <w:t xml:space="preserve">esponse </w:t>
      </w:r>
      <w:r w:rsidR="00984664" w:rsidRPr="00A43F1D">
        <w:rPr>
          <w:sz w:val="22"/>
          <w:szCs w:val="22"/>
        </w:rPr>
        <w:t>P</w:t>
      </w:r>
      <w:r w:rsidRPr="00A43F1D">
        <w:rPr>
          <w:sz w:val="22"/>
          <w:szCs w:val="22"/>
        </w:rPr>
        <w:t xml:space="preserve">olicy and </w:t>
      </w:r>
      <w:r w:rsidR="00984664" w:rsidRPr="00A43F1D">
        <w:rPr>
          <w:sz w:val="22"/>
          <w:szCs w:val="22"/>
        </w:rPr>
        <w:t>P</w:t>
      </w:r>
      <w:r w:rsidRPr="00A43F1D">
        <w:rPr>
          <w:sz w:val="22"/>
          <w:szCs w:val="22"/>
        </w:rPr>
        <w:t>lan</w:t>
      </w:r>
      <w:bookmarkEnd w:id="22"/>
    </w:p>
    <w:p w14:paraId="03B184D9" w14:textId="2873AAFF" w:rsidR="00E303FE" w:rsidRPr="00A43F1D" w:rsidRDefault="00E303FE" w:rsidP="00E303FE">
      <w:pPr>
        <w:rPr>
          <w:rFonts w:cs="Arial"/>
        </w:rPr>
      </w:pPr>
      <w:r w:rsidRPr="00A43F1D">
        <w:rPr>
          <w:rFonts w:cs="Arial"/>
        </w:rPr>
        <w:t xml:space="preserve">Our patient safety incident response plan is a ‘living document’ that will be appropriately amended and updated as </w:t>
      </w:r>
      <w:r w:rsidR="00A43F1D">
        <w:rPr>
          <w:rFonts w:cs="Arial"/>
        </w:rPr>
        <w:t>it is implemented</w:t>
      </w:r>
      <w:r w:rsidRPr="00A43F1D">
        <w:rPr>
          <w:rFonts w:cs="Arial"/>
        </w:rPr>
        <w:t xml:space="preserve"> to respond to patient safety incidents. We will review the plan every 12 to 18 months to ensure our focus remains up to date; with ongoing improvement work our patient safety incident profile is likely to change. This will also provide an opportunity to re-engage with stakeholders to discuss and agree any changes made in the previous 12 to 18 months. </w:t>
      </w:r>
    </w:p>
    <w:p w14:paraId="4C421CA6" w14:textId="77777777" w:rsidR="00E303FE" w:rsidRPr="00A43F1D" w:rsidRDefault="00E303FE" w:rsidP="00E303FE">
      <w:pPr>
        <w:rPr>
          <w:rFonts w:cs="Arial"/>
        </w:rPr>
      </w:pPr>
      <w:r w:rsidRPr="00A43F1D">
        <w:rPr>
          <w:rFonts w:cs="Arial"/>
        </w:rPr>
        <w:t xml:space="preserve">Updated plans will be published on our website, replacing the previous version.  </w:t>
      </w:r>
    </w:p>
    <w:p w14:paraId="1F51DF67" w14:textId="77777777" w:rsidR="00E303FE" w:rsidRPr="00DA1893" w:rsidRDefault="00E303FE" w:rsidP="00E303FE">
      <w:pPr>
        <w:rPr>
          <w:rFonts w:cs="Arial"/>
          <w:b/>
        </w:rPr>
      </w:pPr>
      <w:r w:rsidRPr="00DA1893">
        <w:rPr>
          <w:rFonts w:cs="Arial"/>
        </w:rPr>
        <w:lastRenderedPageBreak/>
        <w:t xml:space="preserve">A rigorous planning exercise will be undertaken every four years and more frequently if appropriate (as agreed with our integrated care boards (ICB)) to ensure efforts continue to be balanced between learning and improvement. This more in-depth review will include reviewing our response capacity, mapping our services, a wide review of organisational data (for example, patient safety incident investigation (PSII) reports, improvement plans, complaints, claims, staff survey results, inequalities data, and reporting data) and wider stakeholder engagement. As we work across two ICBs we will work with an ICB collaborative lead. </w:t>
      </w:r>
    </w:p>
    <w:p w14:paraId="5FDD0134" w14:textId="31DAD3F7" w:rsidR="003F1947" w:rsidRPr="00DA1893" w:rsidRDefault="009C435B" w:rsidP="003F76CD">
      <w:pPr>
        <w:pStyle w:val="Heading2"/>
        <w:rPr>
          <w:sz w:val="22"/>
          <w:szCs w:val="22"/>
        </w:rPr>
      </w:pPr>
      <w:bookmarkStart w:id="23" w:name="_Toc204783828"/>
      <w:r w:rsidRPr="00DA1893">
        <w:rPr>
          <w:sz w:val="22"/>
          <w:szCs w:val="22"/>
        </w:rPr>
        <w:t>Responding to patient safety incidents</w:t>
      </w:r>
      <w:bookmarkEnd w:id="23"/>
    </w:p>
    <w:p w14:paraId="14F0CBF5" w14:textId="2092FDFF" w:rsidR="009C435B" w:rsidRPr="001622DD" w:rsidRDefault="009C435B" w:rsidP="00DA1893">
      <w:pPr>
        <w:pStyle w:val="Heading4"/>
        <w:rPr>
          <w:b/>
        </w:rPr>
      </w:pPr>
      <w:r w:rsidRPr="001622DD">
        <w:t>Patient safety incident reporting arrangements</w:t>
      </w:r>
    </w:p>
    <w:p w14:paraId="1C7A9F66" w14:textId="2F6E2433" w:rsidR="00B15B6B" w:rsidRDefault="00B15B6B" w:rsidP="00B15B6B">
      <w:pPr>
        <w:rPr>
          <w:rFonts w:cs="Arial"/>
        </w:rPr>
      </w:pPr>
      <w:r w:rsidRPr="00864A8D">
        <w:rPr>
          <w:rFonts w:cs="Arial"/>
        </w:rPr>
        <w:t xml:space="preserve">All our staff are responsible for </w:t>
      </w:r>
      <w:r w:rsidR="009E6F05" w:rsidRPr="00864A8D">
        <w:rPr>
          <w:rFonts w:cs="Arial"/>
        </w:rPr>
        <w:t xml:space="preserve">flagging incidents to </w:t>
      </w:r>
      <w:r w:rsidR="000B44A9">
        <w:rPr>
          <w:rFonts w:cs="Arial"/>
        </w:rPr>
        <w:t xml:space="preserve">be </w:t>
      </w:r>
      <w:r w:rsidRPr="00864A8D">
        <w:rPr>
          <w:rFonts w:cs="Arial"/>
        </w:rPr>
        <w:t>record</w:t>
      </w:r>
      <w:r w:rsidR="000B44A9">
        <w:rPr>
          <w:rFonts w:cs="Arial"/>
        </w:rPr>
        <w:t>ed</w:t>
      </w:r>
      <w:r w:rsidRPr="00864A8D">
        <w:rPr>
          <w:rFonts w:cs="Arial"/>
        </w:rPr>
        <w:t xml:space="preserve"> and </w:t>
      </w:r>
      <w:r w:rsidR="001622DD" w:rsidRPr="00864A8D">
        <w:rPr>
          <w:rFonts w:cs="Arial"/>
        </w:rPr>
        <w:t>report</w:t>
      </w:r>
      <w:r w:rsidR="000B44A9">
        <w:rPr>
          <w:rFonts w:cs="Arial"/>
        </w:rPr>
        <w:t>ed</w:t>
      </w:r>
      <w:r w:rsidR="001622DD" w:rsidRPr="00864A8D">
        <w:rPr>
          <w:rFonts w:cs="Arial"/>
        </w:rPr>
        <w:t>,</w:t>
      </w:r>
      <w:r w:rsidR="007D0071" w:rsidRPr="00864A8D">
        <w:rPr>
          <w:rFonts w:cs="Arial"/>
        </w:rPr>
        <w:t xml:space="preserve"> </w:t>
      </w:r>
      <w:r w:rsidR="000B44A9">
        <w:rPr>
          <w:rFonts w:cs="Arial"/>
        </w:rPr>
        <w:t xml:space="preserve">including </w:t>
      </w:r>
      <w:r w:rsidRPr="00864A8D">
        <w:rPr>
          <w:rFonts w:cs="Arial"/>
        </w:rPr>
        <w:t xml:space="preserve">potential </w:t>
      </w:r>
      <w:r w:rsidR="000B44A9">
        <w:rPr>
          <w:rFonts w:cs="Arial"/>
        </w:rPr>
        <w:t xml:space="preserve">and </w:t>
      </w:r>
      <w:r w:rsidRPr="00864A8D">
        <w:rPr>
          <w:rFonts w:cs="Arial"/>
        </w:rPr>
        <w:t xml:space="preserve">actual patient safety events on our </w:t>
      </w:r>
      <w:r w:rsidR="003E33AE">
        <w:rPr>
          <w:rFonts w:cs="Arial"/>
        </w:rPr>
        <w:t>Incident Reporting System (IRS) regardless of the severity of harm</w:t>
      </w:r>
      <w:r w:rsidRPr="00864A8D">
        <w:rPr>
          <w:rFonts w:cs="Arial"/>
        </w:rPr>
        <w:t xml:space="preserve">. The reporter </w:t>
      </w:r>
      <w:r w:rsidR="007D0071" w:rsidRPr="00864A8D">
        <w:rPr>
          <w:rFonts w:cs="Arial"/>
        </w:rPr>
        <w:t xml:space="preserve">that </w:t>
      </w:r>
      <w:r w:rsidR="003E33AE">
        <w:rPr>
          <w:rFonts w:cs="Arial"/>
        </w:rPr>
        <w:t>reports the incident</w:t>
      </w:r>
      <w:r w:rsidR="007D0071" w:rsidRPr="00864A8D">
        <w:rPr>
          <w:rFonts w:cs="Arial"/>
        </w:rPr>
        <w:t xml:space="preserve"> on </w:t>
      </w:r>
      <w:r w:rsidR="003E33AE">
        <w:rPr>
          <w:rFonts w:cs="Arial"/>
        </w:rPr>
        <w:t>the IRS</w:t>
      </w:r>
      <w:r w:rsidR="007D0071" w:rsidRPr="00864A8D">
        <w:rPr>
          <w:rFonts w:cs="Arial"/>
        </w:rPr>
        <w:t xml:space="preserve"> </w:t>
      </w:r>
      <w:r w:rsidR="003E33AE">
        <w:rPr>
          <w:rFonts w:cs="Arial"/>
        </w:rPr>
        <w:t xml:space="preserve">is responsible for sharing all relevant and appropriate information known at the time the report is made. </w:t>
      </w:r>
      <w:r w:rsidRPr="00864A8D">
        <w:rPr>
          <w:rFonts w:cs="Arial"/>
        </w:rPr>
        <w:t xml:space="preserve">Each </w:t>
      </w:r>
      <w:r w:rsidR="009468F6">
        <w:rPr>
          <w:rFonts w:cs="Arial"/>
        </w:rPr>
        <w:t>incident report</w:t>
      </w:r>
      <w:r w:rsidRPr="00864A8D">
        <w:rPr>
          <w:rFonts w:cs="Arial"/>
        </w:rPr>
        <w:t xml:space="preserve"> will be reviewed by a </w:t>
      </w:r>
      <w:r w:rsidR="009468F6">
        <w:rPr>
          <w:rFonts w:cs="Arial"/>
        </w:rPr>
        <w:t>Clinical Governance Lead or Clinical Manager</w:t>
      </w:r>
      <w:r w:rsidR="00976F48">
        <w:rPr>
          <w:rFonts w:cs="Arial"/>
        </w:rPr>
        <w:t>, who will consider whether the incident meets the criteria of a Patient Safety Incident and then escalate as appropriate to the Head of Clinical Governance or another member of the Clinical Leadership team.</w:t>
      </w:r>
    </w:p>
    <w:p w14:paraId="0A5059C5" w14:textId="1C254915" w:rsidR="00257929" w:rsidRPr="00864A8D" w:rsidRDefault="00257929" w:rsidP="00B15B6B">
      <w:pPr>
        <w:rPr>
          <w:rFonts w:cs="Arial"/>
        </w:rPr>
      </w:pPr>
      <w:r>
        <w:rPr>
          <w:rFonts w:cs="Arial"/>
        </w:rPr>
        <w:t xml:space="preserve">The Head of Clinical Governance will request that Patient Safety Incidents are responded to utilising an appropriate Learning Response Method, and will be available to guide and support Patient Safety Incident Investigators throughout the review process. Assurance of this process will be gained and reflected upon at bi-monthly Patient Safety Group meetings, and any concerns escalated to the Senior Leadership Team </w:t>
      </w:r>
      <w:r w:rsidR="004863D3">
        <w:rPr>
          <w:rFonts w:cs="Arial"/>
        </w:rPr>
        <w:t>at Senior Quality Review meetings.</w:t>
      </w:r>
    </w:p>
    <w:p w14:paraId="2741C993" w14:textId="487FCE02" w:rsidR="00B15B6B" w:rsidRPr="00864A8D" w:rsidRDefault="00B15B6B" w:rsidP="00B15B6B">
      <w:pPr>
        <w:rPr>
          <w:rFonts w:cs="Arial"/>
        </w:rPr>
      </w:pPr>
      <w:r w:rsidRPr="00864A8D">
        <w:rPr>
          <w:rFonts w:cs="Arial"/>
        </w:rPr>
        <w:t xml:space="preserve">The organisation </w:t>
      </w:r>
      <w:r w:rsidR="004863D3">
        <w:rPr>
          <w:rFonts w:cs="Arial"/>
        </w:rPr>
        <w:t xml:space="preserve">also </w:t>
      </w:r>
      <w:r w:rsidRPr="00864A8D">
        <w:rPr>
          <w:rFonts w:cs="Arial"/>
        </w:rPr>
        <w:t xml:space="preserve">has corporate oversight of all patient safety events and service lines have their own mechanisms in place to ensure patient safety events are responded to proportionately and in a timely manner. This will include consideration of Duty of Candour (Duty of Candour Procedure, found </w:t>
      </w:r>
      <w:r w:rsidR="009F3EA2" w:rsidRPr="00864A8D">
        <w:rPr>
          <w:rFonts w:cs="Arial"/>
        </w:rPr>
        <w:t xml:space="preserve">in policies </w:t>
      </w:r>
      <w:r w:rsidRPr="00864A8D">
        <w:rPr>
          <w:rFonts w:cs="Arial"/>
        </w:rPr>
        <w:t xml:space="preserve">on </w:t>
      </w:r>
      <w:r w:rsidR="009F3EA2" w:rsidRPr="00864A8D">
        <w:rPr>
          <w:rFonts w:cs="Arial"/>
        </w:rPr>
        <w:t>our</w:t>
      </w:r>
      <w:r w:rsidRPr="00864A8D">
        <w:rPr>
          <w:rFonts w:cs="Arial"/>
        </w:rPr>
        <w:t xml:space="preserve"> </w:t>
      </w:r>
      <w:r w:rsidR="001622DD" w:rsidRPr="00864A8D">
        <w:rPr>
          <w:rFonts w:cs="Arial"/>
        </w:rPr>
        <w:t>intranet)</w:t>
      </w:r>
      <w:r w:rsidRPr="00864A8D">
        <w:rPr>
          <w:rFonts w:cs="Arial"/>
        </w:rPr>
        <w:t xml:space="preserve">. Most events will require a local review and learning response (if necessary), undertaken by individual </w:t>
      </w:r>
      <w:r w:rsidR="00C704F7" w:rsidRPr="00864A8D">
        <w:rPr>
          <w:rFonts w:cs="Arial"/>
        </w:rPr>
        <w:t>business units</w:t>
      </w:r>
      <w:r w:rsidRPr="00864A8D">
        <w:rPr>
          <w:rFonts w:cs="Arial"/>
        </w:rPr>
        <w:t>. Those events where the opportunity to learn</w:t>
      </w:r>
      <w:r w:rsidR="000A42CB" w:rsidRPr="00864A8D">
        <w:rPr>
          <w:rFonts w:cs="Arial"/>
        </w:rPr>
        <w:t xml:space="preserve"> </w:t>
      </w:r>
      <w:r w:rsidRPr="00864A8D">
        <w:rPr>
          <w:rFonts w:cs="Arial"/>
        </w:rPr>
        <w:t xml:space="preserve">and improve would be of greatest value, will be led by the </w:t>
      </w:r>
      <w:r w:rsidR="00C81BF0">
        <w:rPr>
          <w:rFonts w:cs="Arial"/>
        </w:rPr>
        <w:t xml:space="preserve">Clinical Governance team with support from the Clinical Leadership team and </w:t>
      </w:r>
      <w:r w:rsidR="00A45D4E">
        <w:rPr>
          <w:rFonts w:cs="Arial"/>
        </w:rPr>
        <w:t>Senior Leadership team.</w:t>
      </w:r>
    </w:p>
    <w:p w14:paraId="5246928C" w14:textId="796FEBA0" w:rsidR="00B15B6B" w:rsidRDefault="00A45D4E" w:rsidP="00B15B6B">
      <w:pPr>
        <w:rPr>
          <w:rFonts w:cs="Arial"/>
        </w:rPr>
      </w:pPr>
      <w:r>
        <w:rPr>
          <w:rFonts w:cs="Arial"/>
        </w:rPr>
        <w:t>I</w:t>
      </w:r>
      <w:r w:rsidR="00B15B6B" w:rsidRPr="00864A8D">
        <w:rPr>
          <w:rFonts w:cs="Arial"/>
        </w:rPr>
        <w:t xml:space="preserve">ncidents that appear to meet requirements for reporting externally will be </w:t>
      </w:r>
      <w:r w:rsidR="00950AF5" w:rsidRPr="00864A8D">
        <w:rPr>
          <w:rFonts w:cs="Arial"/>
        </w:rPr>
        <w:t>advised</w:t>
      </w:r>
      <w:r w:rsidR="00B15B6B" w:rsidRPr="00864A8D">
        <w:rPr>
          <w:rFonts w:cs="Arial"/>
        </w:rPr>
        <w:t xml:space="preserve"> by the </w:t>
      </w:r>
      <w:r w:rsidR="00003C8D">
        <w:rPr>
          <w:rFonts w:cs="Arial"/>
        </w:rPr>
        <w:t>Clinical Governance team and Clinical Leadership team, decisions on this will be made during Swarm Huddles and as part of a weekly Incidents and Risk meeting</w:t>
      </w:r>
      <w:r w:rsidR="00565325">
        <w:rPr>
          <w:rFonts w:cs="Arial"/>
        </w:rPr>
        <w:t xml:space="preserve"> attended by both the Head of Clinical Governance, Head of Quality and Risk, Clinical Leadership team and an appropriate non-executive director</w:t>
      </w:r>
      <w:r w:rsidR="00B15B6B" w:rsidRPr="00864A8D">
        <w:rPr>
          <w:rFonts w:cs="Arial"/>
        </w:rPr>
        <w:t>. There will be occasions where events require the efforts of cross-system working with relevant partners, the Integrated Care Board (ICB) will support a collaborative approach with these arrangements if required.</w:t>
      </w:r>
    </w:p>
    <w:p w14:paraId="461079A4" w14:textId="5D55B0EE" w:rsidR="00D5160C" w:rsidRPr="00864A8D" w:rsidRDefault="00D5160C" w:rsidP="00B15B6B">
      <w:pPr>
        <w:rPr>
          <w:rFonts w:cs="Arial"/>
        </w:rPr>
      </w:pPr>
      <w:r>
        <w:rPr>
          <w:rFonts w:cs="Arial"/>
        </w:rPr>
        <w:t>FCMS’ IRS is LFPSE accredited and patient safety events will be logged as appropriate utilising the LFPSE function. Further information regarding this process is available within our PSIRP.</w:t>
      </w:r>
    </w:p>
    <w:p w14:paraId="059EF80C" w14:textId="20025EEB" w:rsidR="006657E7" w:rsidRPr="00864A8D" w:rsidRDefault="00F94B63" w:rsidP="00864A8D">
      <w:pPr>
        <w:pStyle w:val="Heading4"/>
        <w:rPr>
          <w:b/>
        </w:rPr>
      </w:pPr>
      <w:r w:rsidRPr="00864A8D">
        <w:lastRenderedPageBreak/>
        <w:t xml:space="preserve">Patient </w:t>
      </w:r>
      <w:r w:rsidR="00864A8D">
        <w:t>S</w:t>
      </w:r>
      <w:r w:rsidRPr="00864A8D">
        <w:t xml:space="preserve">afety </w:t>
      </w:r>
      <w:r w:rsidR="00864A8D">
        <w:t>I</w:t>
      </w:r>
      <w:r w:rsidRPr="00864A8D">
        <w:t xml:space="preserve">ncident </w:t>
      </w:r>
      <w:r w:rsidR="00864A8D">
        <w:t>R</w:t>
      </w:r>
      <w:r w:rsidRPr="00864A8D">
        <w:t xml:space="preserve">esponse </w:t>
      </w:r>
      <w:r w:rsidR="00864A8D">
        <w:t>D</w:t>
      </w:r>
      <w:r w:rsidRPr="00864A8D">
        <w:t>ecision-</w:t>
      </w:r>
      <w:r w:rsidR="00864A8D">
        <w:t>M</w:t>
      </w:r>
      <w:r w:rsidRPr="00864A8D">
        <w:t>aking</w:t>
      </w:r>
    </w:p>
    <w:p w14:paraId="4B6AD289" w14:textId="0C0CA481" w:rsidR="00FA7802" w:rsidRPr="00864A8D" w:rsidRDefault="00FA7802" w:rsidP="00FA7802">
      <w:pPr>
        <w:rPr>
          <w:rFonts w:cs="Arial"/>
        </w:rPr>
      </w:pPr>
      <w:r w:rsidRPr="00864A8D">
        <w:rPr>
          <w:rFonts w:cs="Arial"/>
        </w:rPr>
        <w:t xml:space="preserve">FCMS will have arrangements in place to meet the requirement to review patient safety events under PSIRF. Some of these will require a mandatory response, others will require review or referral to another body and/or team; these are set out in the PSIRF plan. </w:t>
      </w:r>
    </w:p>
    <w:p w14:paraId="5C1B9E1F" w14:textId="408273A2" w:rsidR="00FA7802" w:rsidRPr="00864A8D" w:rsidRDefault="00FA7802" w:rsidP="00FA7802">
      <w:pPr>
        <w:rPr>
          <w:rFonts w:cs="Arial"/>
        </w:rPr>
      </w:pPr>
      <w:r w:rsidRPr="00864A8D">
        <w:rPr>
          <w:rFonts w:cs="Arial"/>
        </w:rPr>
        <w:t xml:space="preserve">PSIRF itself sets no further national thresholds to determine what method of response should be utilised for learning and improvement. </w:t>
      </w:r>
      <w:r w:rsidR="00503375" w:rsidRPr="00864A8D">
        <w:rPr>
          <w:rFonts w:cs="Arial"/>
        </w:rPr>
        <w:t>FCMS</w:t>
      </w:r>
      <w:r w:rsidRPr="00864A8D">
        <w:rPr>
          <w:rFonts w:cs="Arial"/>
        </w:rPr>
        <w:t xml:space="preserve"> has developed a range of response mechanisms to balance the efforts between learning and exploring emerging issues alongside ongoing improvement work. During the work to create our plan, we considered our </w:t>
      </w:r>
      <w:r w:rsidR="00714993">
        <w:rPr>
          <w:rFonts w:cs="Arial"/>
        </w:rPr>
        <w:t>patient safety data</w:t>
      </w:r>
      <w:r w:rsidRPr="00864A8D">
        <w:rPr>
          <w:rFonts w:cs="Arial"/>
        </w:rPr>
        <w:t xml:space="preserve"> and engagement with key stakeholders to identify our patient safety profile. We have used and will build on this intelligence for our local priorities and our toolkit for responding to patient safety events. </w:t>
      </w:r>
    </w:p>
    <w:p w14:paraId="2A8DE8A0" w14:textId="77777777" w:rsidR="00FA7802" w:rsidRPr="00864A8D" w:rsidRDefault="00FA7802" w:rsidP="00FA7802">
      <w:pPr>
        <w:rPr>
          <w:rFonts w:cs="Arial"/>
        </w:rPr>
      </w:pPr>
      <w:r w:rsidRPr="00864A8D">
        <w:rPr>
          <w:rFonts w:cs="Arial"/>
        </w:rPr>
        <w:t xml:space="preserve">We have established a process for our response to events, that allows for a clear set of mechanisms allowing for oversight of our learning responses. </w:t>
      </w:r>
    </w:p>
    <w:p w14:paraId="2122020B" w14:textId="5436E92B" w:rsidR="00FA7802" w:rsidRPr="00864A8D" w:rsidRDefault="00FA7802" w:rsidP="00FA7802">
      <w:pPr>
        <w:rPr>
          <w:rFonts w:cs="Arial"/>
        </w:rPr>
      </w:pPr>
      <w:r w:rsidRPr="00864A8D">
        <w:rPr>
          <w:rFonts w:cs="Arial"/>
        </w:rPr>
        <w:t>We will hold a weekly decision-making</w:t>
      </w:r>
      <w:r w:rsidR="00E774DB">
        <w:rPr>
          <w:rFonts w:cs="Arial"/>
        </w:rPr>
        <w:t xml:space="preserve"> Incidents and Risk</w:t>
      </w:r>
      <w:r w:rsidRPr="00864A8D">
        <w:rPr>
          <w:rFonts w:cs="Arial"/>
        </w:rPr>
        <w:t xml:space="preserve"> meeting</w:t>
      </w:r>
      <w:r w:rsidR="00E774DB">
        <w:rPr>
          <w:rFonts w:cs="Arial"/>
        </w:rPr>
        <w:t xml:space="preserve">, as referred to above, </w:t>
      </w:r>
      <w:r w:rsidRPr="00864A8D">
        <w:rPr>
          <w:rFonts w:cs="Arial"/>
        </w:rPr>
        <w:t xml:space="preserve">to review events from escalation within service lines, and a decision </w:t>
      </w:r>
      <w:r w:rsidR="00D47ECD" w:rsidRPr="00864A8D">
        <w:rPr>
          <w:rFonts w:cs="Arial"/>
        </w:rPr>
        <w:t>will be</w:t>
      </w:r>
      <w:r w:rsidRPr="00864A8D">
        <w:rPr>
          <w:rFonts w:cs="Arial"/>
        </w:rPr>
        <w:t xml:space="preserve"> made on an appropriate level of response</w:t>
      </w:r>
      <w:r w:rsidR="00D47ECD" w:rsidRPr="00864A8D">
        <w:rPr>
          <w:rFonts w:cs="Arial"/>
        </w:rPr>
        <w:t>. T</w:t>
      </w:r>
      <w:r w:rsidRPr="00864A8D">
        <w:rPr>
          <w:rFonts w:cs="Arial"/>
        </w:rPr>
        <w:t xml:space="preserve">his is to identify those events that appear to meet the need for further exploration due to the possibility of meeting the criteria for a full review. This group will have delegated responsibility for the consideration of events for PSII (Patient Safety Incident Investigation) or a patient safety learning response for oversight of outcomes. All recommendations made will focus on system-based approaches utilising the SEIPS (systems engineering initiative for patient safety) model, ensuring recommendations are valid and contribute to existing safety improvement plans or establishment of such, if they are required. </w:t>
      </w:r>
    </w:p>
    <w:p w14:paraId="479F102A" w14:textId="58C39DAF" w:rsidR="00E356FB" w:rsidRPr="00864A8D" w:rsidRDefault="00FA7802" w:rsidP="00FA7802">
      <w:pPr>
        <w:rPr>
          <w:rFonts w:cs="Arial"/>
        </w:rPr>
      </w:pPr>
      <w:r w:rsidRPr="00864A8D">
        <w:rPr>
          <w:rFonts w:cs="Arial"/>
        </w:rPr>
        <w:t xml:space="preserve">The </w:t>
      </w:r>
      <w:r w:rsidR="00D15294" w:rsidRPr="00864A8D">
        <w:rPr>
          <w:rFonts w:cs="Arial"/>
        </w:rPr>
        <w:t>Senior Quality</w:t>
      </w:r>
      <w:r w:rsidRPr="00864A8D">
        <w:rPr>
          <w:rFonts w:cs="Arial"/>
        </w:rPr>
        <w:t xml:space="preserve"> </w:t>
      </w:r>
      <w:r w:rsidR="00CB3797">
        <w:rPr>
          <w:rFonts w:cs="Arial"/>
        </w:rPr>
        <w:t>Review group</w:t>
      </w:r>
      <w:r w:rsidRPr="00864A8D">
        <w:rPr>
          <w:rFonts w:cs="Arial"/>
        </w:rPr>
        <w:t xml:space="preserve"> will hold overall oversight of such processes, allowing for challenge where required, to ensure the Board of Directors can be assured the true intent of PSIRF is being implemented across our organisation to ensure we are meeting the national response standards.</w:t>
      </w:r>
    </w:p>
    <w:p w14:paraId="4B10EE25" w14:textId="1C2F13DE" w:rsidR="00A24B8E" w:rsidRPr="00CC2BEC" w:rsidRDefault="00291FFE" w:rsidP="003F76CD">
      <w:pPr>
        <w:pStyle w:val="Heading2"/>
        <w:rPr>
          <w:rFonts w:cs="Arial"/>
          <w:b/>
          <w:color w:val="0070C0"/>
          <w:sz w:val="22"/>
          <w:szCs w:val="22"/>
        </w:rPr>
      </w:pPr>
      <w:bookmarkStart w:id="24" w:name="_Toc204783829"/>
      <w:r w:rsidRPr="00CC2BEC">
        <w:rPr>
          <w:rFonts w:cs="Arial"/>
          <w:color w:val="0070C0"/>
          <w:sz w:val="22"/>
          <w:szCs w:val="22"/>
        </w:rPr>
        <w:t>R</w:t>
      </w:r>
      <w:r w:rsidRPr="00CC2BEC">
        <w:rPr>
          <w:rStyle w:val="Heading2Char"/>
          <w:sz w:val="22"/>
          <w:szCs w:val="22"/>
        </w:rPr>
        <w:t>esponding to cross-system incidents/issues</w:t>
      </w:r>
      <w:bookmarkEnd w:id="24"/>
    </w:p>
    <w:p w14:paraId="4DC82D24" w14:textId="588E409E" w:rsidR="003B28BE" w:rsidRPr="00CC2BEC" w:rsidRDefault="003B28BE" w:rsidP="003B28BE">
      <w:pPr>
        <w:rPr>
          <w:rFonts w:cs="Arial"/>
        </w:rPr>
      </w:pPr>
      <w:r w:rsidRPr="00CC2BEC">
        <w:rPr>
          <w:rFonts w:cs="Arial"/>
        </w:rPr>
        <w:t xml:space="preserve">The </w:t>
      </w:r>
      <w:r w:rsidR="00CC2BEC">
        <w:rPr>
          <w:rFonts w:cs="Arial"/>
        </w:rPr>
        <w:t>Clinical Governance and Clinical Leadership teams</w:t>
      </w:r>
      <w:r w:rsidRPr="00CC2BEC">
        <w:rPr>
          <w:rFonts w:cs="Arial"/>
        </w:rPr>
        <w:t xml:space="preserve"> will assist in the coordination of these events identified to other providers directly, via each organisations reporting processes. Where required summary reporting can be utilised to share insights with other providers about their patient safety profile. </w:t>
      </w:r>
    </w:p>
    <w:p w14:paraId="137898AB" w14:textId="77777777" w:rsidR="003B28BE" w:rsidRPr="00CC2BEC" w:rsidRDefault="003B28BE" w:rsidP="003B28BE">
      <w:pPr>
        <w:rPr>
          <w:rFonts w:cs="Arial"/>
        </w:rPr>
      </w:pPr>
      <w:r w:rsidRPr="00CC2BEC">
        <w:rPr>
          <w:rFonts w:cs="Arial"/>
        </w:rPr>
        <w:t xml:space="preserve">We will work with partner providers and relevant ICBs to establish and maintain robust procedures to facilitate flow of information and minimise delays to joint working on cross-system events. The patient safety team will act as a single access point for such working arrangements and hold supportive procedures to ensure this is effectively managed. </w:t>
      </w:r>
    </w:p>
    <w:p w14:paraId="2B451937" w14:textId="40CE7D2D" w:rsidR="003B28BE" w:rsidRPr="004E63E4" w:rsidRDefault="002B6AD7" w:rsidP="003B28BE">
      <w:pPr>
        <w:rPr>
          <w:rFonts w:cs="Arial"/>
          <w:sz w:val="24"/>
          <w:szCs w:val="24"/>
        </w:rPr>
      </w:pPr>
      <w:r w:rsidRPr="00CC2BEC">
        <w:rPr>
          <w:rFonts w:cs="Arial"/>
        </w:rPr>
        <w:t xml:space="preserve">FCMS </w:t>
      </w:r>
      <w:r w:rsidR="003B28BE" w:rsidRPr="00CC2BEC">
        <w:rPr>
          <w:rFonts w:cs="Arial"/>
        </w:rPr>
        <w:t>will refer to ICBs to assist with the co-ordination where a cross-system event is felt to be complex to be managed by a single provider, we anticipate the ICB will provide support and advice with identifying a suitable reviewer, should this circumstance arise.</w:t>
      </w:r>
    </w:p>
    <w:p w14:paraId="58EE5B07" w14:textId="21562910" w:rsidR="0080364A" w:rsidRPr="00A6213C" w:rsidRDefault="0080364A" w:rsidP="003F76CD">
      <w:pPr>
        <w:pStyle w:val="Heading2"/>
        <w:rPr>
          <w:b/>
          <w:sz w:val="22"/>
          <w:szCs w:val="22"/>
        </w:rPr>
      </w:pPr>
      <w:bookmarkStart w:id="25" w:name="_Toc204783830"/>
      <w:r w:rsidRPr="00A6213C">
        <w:rPr>
          <w:sz w:val="22"/>
          <w:szCs w:val="22"/>
        </w:rPr>
        <w:lastRenderedPageBreak/>
        <w:t>Timeframes for learning responses</w:t>
      </w:r>
      <w:bookmarkEnd w:id="25"/>
    </w:p>
    <w:p w14:paraId="6D3D6193" w14:textId="77777777" w:rsidR="000F755C" w:rsidRPr="000F755C" w:rsidRDefault="000F755C" w:rsidP="00A6213C">
      <w:pPr>
        <w:pStyle w:val="Heading4"/>
      </w:pPr>
      <w:r w:rsidRPr="000F755C">
        <w:t xml:space="preserve">Timescales for Patient Safety Incident Investigations (PSIIs) </w:t>
      </w:r>
    </w:p>
    <w:p w14:paraId="66D52B21" w14:textId="11ECCF70" w:rsidR="000F755C" w:rsidRPr="00845685" w:rsidRDefault="000F755C" w:rsidP="000F755C">
      <w:pPr>
        <w:rPr>
          <w:rFonts w:cs="Arial"/>
        </w:rPr>
      </w:pPr>
      <w:r w:rsidRPr="00845685">
        <w:rPr>
          <w:rFonts w:cs="Arial"/>
        </w:rPr>
        <w:t>Where a full PSII is indicated, this will be started as soon as practically possible following the identification and completed within three months. Locally</w:t>
      </w:r>
      <w:r w:rsidR="00A6213C" w:rsidRPr="00845685">
        <w:rPr>
          <w:rFonts w:cs="Arial"/>
        </w:rPr>
        <w:t xml:space="preserve"> </w:t>
      </w:r>
      <w:r w:rsidRPr="00845685">
        <w:rPr>
          <w:rFonts w:cs="Arial"/>
        </w:rPr>
        <w:t xml:space="preserve">led PSIIs should not exceed six months. </w:t>
      </w:r>
    </w:p>
    <w:p w14:paraId="1AE46C07" w14:textId="7DAED474" w:rsidR="000F755C" w:rsidRPr="00845685" w:rsidRDefault="000F755C" w:rsidP="000F755C">
      <w:pPr>
        <w:rPr>
          <w:rFonts w:cs="Arial"/>
        </w:rPr>
      </w:pPr>
      <w:r w:rsidRPr="00845685">
        <w:rPr>
          <w:rFonts w:cs="Arial"/>
        </w:rPr>
        <w:t xml:space="preserve">Timeframe for completion will be agreed with those affected, as part of setting the terms of reference; this remains subject to them </w:t>
      </w:r>
      <w:r w:rsidR="00CF4EE0" w:rsidRPr="00845685">
        <w:rPr>
          <w:rFonts w:cs="Arial"/>
        </w:rPr>
        <w:t xml:space="preserve">being </w:t>
      </w:r>
      <w:r w:rsidRPr="00845685">
        <w:rPr>
          <w:rFonts w:cs="Arial"/>
        </w:rPr>
        <w:t>willing and able to be involved in that decision. A balance will be drawn between conducting a thorough review, the impact extended timescales can have on those involved and the risk of delaying findings</w:t>
      </w:r>
      <w:r w:rsidR="00EC1410" w:rsidRPr="00845685">
        <w:rPr>
          <w:rFonts w:cs="Arial"/>
        </w:rPr>
        <w:t xml:space="preserve"> which</w:t>
      </w:r>
      <w:r w:rsidRPr="00845685">
        <w:rPr>
          <w:rFonts w:cs="Arial"/>
        </w:rPr>
        <w:t xml:space="preserve"> may adversely affect safety. </w:t>
      </w:r>
    </w:p>
    <w:p w14:paraId="4811169E" w14:textId="48BF601D" w:rsidR="000F755C" w:rsidRPr="00845685" w:rsidRDefault="000F755C" w:rsidP="000F755C">
      <w:pPr>
        <w:rPr>
          <w:rFonts w:cs="Arial"/>
        </w:rPr>
      </w:pPr>
      <w:r w:rsidRPr="00845685">
        <w:rPr>
          <w:rFonts w:cs="Arial"/>
        </w:rPr>
        <w:t xml:space="preserve">In exceptional circumstances (i.e., when a partner organisation requests a pause, or processes of external bodies delay access to information) </w:t>
      </w:r>
      <w:r w:rsidR="00EC1410" w:rsidRPr="00845685">
        <w:rPr>
          <w:rFonts w:cs="Arial"/>
        </w:rPr>
        <w:t xml:space="preserve">FCMS </w:t>
      </w:r>
      <w:r w:rsidRPr="00845685">
        <w:rPr>
          <w:rFonts w:cs="Arial"/>
        </w:rPr>
        <w:t xml:space="preserve">can consider whether to progress and determine whether new information would indicate the need for further review once this is received. The decision for this would be made by the Patient Safety </w:t>
      </w:r>
      <w:r w:rsidR="00DD285D" w:rsidRPr="00845685">
        <w:rPr>
          <w:rFonts w:cs="Arial"/>
        </w:rPr>
        <w:t>Incident Response Team.</w:t>
      </w:r>
      <w:r w:rsidRPr="00845685">
        <w:rPr>
          <w:rFonts w:cs="Arial"/>
        </w:rPr>
        <w:t xml:space="preserve"> </w:t>
      </w:r>
    </w:p>
    <w:p w14:paraId="31E4809B" w14:textId="056FA1C0" w:rsidR="00F91043" w:rsidRPr="00845685" w:rsidRDefault="000F755C" w:rsidP="000F755C">
      <w:pPr>
        <w:rPr>
          <w:rFonts w:cs="Arial"/>
        </w:rPr>
      </w:pPr>
      <w:r w:rsidRPr="00845685">
        <w:rPr>
          <w:rFonts w:cs="Arial"/>
        </w:rPr>
        <w:t xml:space="preserve">There may be occasions where a longer timeframe is required for completion, in this case, all extended timeframes will be agreed between </w:t>
      </w:r>
      <w:r w:rsidR="00DD285D" w:rsidRPr="00845685">
        <w:rPr>
          <w:rFonts w:cs="Arial"/>
        </w:rPr>
        <w:t>FCMS</w:t>
      </w:r>
      <w:r w:rsidRPr="00845685">
        <w:rPr>
          <w:rFonts w:cs="Arial"/>
        </w:rPr>
        <w:t xml:space="preserve"> and those affected.</w:t>
      </w:r>
    </w:p>
    <w:p w14:paraId="616E8A66" w14:textId="77777777" w:rsidR="009D3D3B" w:rsidRPr="00845685" w:rsidRDefault="009D3D3B" w:rsidP="003F76CD">
      <w:pPr>
        <w:pStyle w:val="Heading2"/>
        <w:rPr>
          <w:sz w:val="22"/>
          <w:szCs w:val="22"/>
        </w:rPr>
      </w:pPr>
      <w:bookmarkStart w:id="26" w:name="_Toc204783831"/>
      <w:r w:rsidRPr="00845685">
        <w:rPr>
          <w:sz w:val="22"/>
          <w:szCs w:val="22"/>
        </w:rPr>
        <w:t>Timescales for Patient Safety Learning Responses (PSLRs)</w:t>
      </w:r>
      <w:bookmarkEnd w:id="26"/>
      <w:r w:rsidRPr="00845685">
        <w:rPr>
          <w:sz w:val="22"/>
          <w:szCs w:val="22"/>
        </w:rPr>
        <w:t xml:space="preserve"> </w:t>
      </w:r>
    </w:p>
    <w:p w14:paraId="0E16722E" w14:textId="68C05D78" w:rsidR="009D3D3B" w:rsidRPr="00845685" w:rsidRDefault="009D3D3B" w:rsidP="009D3D3B">
      <w:pPr>
        <w:rPr>
          <w:rFonts w:cs="Arial"/>
        </w:rPr>
      </w:pPr>
      <w:r w:rsidRPr="00845685">
        <w:rPr>
          <w:rFonts w:cs="Arial"/>
        </w:rPr>
        <w:t>A Patient Safety Learning Response must be started as soon as practically possible following a patient safety event is identified. These learning responses should not exceed six months in duration.</w:t>
      </w:r>
    </w:p>
    <w:p w14:paraId="0CBA205D" w14:textId="504ED794" w:rsidR="0080364A" w:rsidRPr="00845685" w:rsidRDefault="00EF5451" w:rsidP="003F76CD">
      <w:pPr>
        <w:pStyle w:val="Heading2"/>
        <w:rPr>
          <w:b/>
          <w:sz w:val="22"/>
          <w:szCs w:val="22"/>
        </w:rPr>
      </w:pPr>
      <w:bookmarkStart w:id="27" w:name="_Toc204783832"/>
      <w:r w:rsidRPr="00845685">
        <w:rPr>
          <w:sz w:val="22"/>
          <w:szCs w:val="22"/>
        </w:rPr>
        <w:t>Safety action development and monitoring improvement</w:t>
      </w:r>
      <w:bookmarkEnd w:id="27"/>
    </w:p>
    <w:p w14:paraId="2B3E0502" w14:textId="35767A3D" w:rsidR="00364C92" w:rsidRPr="00845685" w:rsidRDefault="00364C92" w:rsidP="00364C92">
      <w:pPr>
        <w:rPr>
          <w:rFonts w:cs="Arial"/>
        </w:rPr>
      </w:pPr>
      <w:r w:rsidRPr="00845685">
        <w:rPr>
          <w:rFonts w:cs="Arial"/>
        </w:rPr>
        <w:t xml:space="preserve">FCMS acknowledges any form of patient safety learning response will allow the circumstances of an event or set of events to be understood, but this may only be the beginning. To reliably </w:t>
      </w:r>
      <w:r w:rsidR="00E329B6">
        <w:rPr>
          <w:rFonts w:cs="Arial"/>
        </w:rPr>
        <w:t>mitigate</w:t>
      </w:r>
      <w:r w:rsidRPr="00845685">
        <w:rPr>
          <w:rFonts w:cs="Arial"/>
        </w:rPr>
        <w:t xml:space="preserve"> risk, better safety actions are required. </w:t>
      </w:r>
    </w:p>
    <w:p w14:paraId="0552D9D3" w14:textId="22AC87ED" w:rsidR="00364C92" w:rsidRPr="00845685" w:rsidRDefault="00364C92" w:rsidP="00364C92">
      <w:pPr>
        <w:rPr>
          <w:rFonts w:cs="Arial"/>
        </w:rPr>
      </w:pPr>
      <w:r w:rsidRPr="00845685">
        <w:rPr>
          <w:rFonts w:cs="Arial"/>
        </w:rPr>
        <w:t>We will have systems and processes in place to design, implement and monitor safety actions using an integrated approach of reducing risk and limit</w:t>
      </w:r>
      <w:r w:rsidR="00E329B6">
        <w:rPr>
          <w:rFonts w:cs="Arial"/>
        </w:rPr>
        <w:t>ing</w:t>
      </w:r>
      <w:r w:rsidRPr="00845685">
        <w:rPr>
          <w:rFonts w:cs="Arial"/>
        </w:rPr>
        <w:t xml:space="preserve"> the potential for future harm. This process follows from any initial findings of any form of learning response which could result in aspects of trust’s working systems where change could reduce risk and harm. </w:t>
      </w:r>
      <w:r w:rsidR="00B5442F" w:rsidRPr="00845685">
        <w:rPr>
          <w:rFonts w:cs="Arial"/>
        </w:rPr>
        <w:t>FCMS</w:t>
      </w:r>
      <w:r w:rsidRPr="00845685">
        <w:rPr>
          <w:rFonts w:cs="Arial"/>
        </w:rPr>
        <w:t xml:space="preserve"> will generate safety actions in relation to each of these defined areas for improvement. Following this, we will have measures to monitor safety actions and set milestones for review. </w:t>
      </w:r>
    </w:p>
    <w:p w14:paraId="0497B2DF" w14:textId="35E213C8" w:rsidR="00A034D9" w:rsidRPr="00845685" w:rsidRDefault="00364C92" w:rsidP="00845685">
      <w:pPr>
        <w:rPr>
          <w:rFonts w:cs="Arial"/>
        </w:rPr>
      </w:pPr>
      <w:r w:rsidRPr="00845685">
        <w:rPr>
          <w:rFonts w:cs="Arial"/>
        </w:rPr>
        <w:t>Patient Safety Learning Responses should not describe recommendations, as this can l</w:t>
      </w:r>
      <w:r w:rsidR="00AA5A12" w:rsidRPr="00845685">
        <w:rPr>
          <w:rFonts w:cs="Arial"/>
        </w:rPr>
        <w:t>e</w:t>
      </w:r>
      <w:r w:rsidRPr="00845685">
        <w:rPr>
          <w:rFonts w:cs="Arial"/>
        </w:rPr>
        <w:t>ad to premature attempts to devise a solution. To achieve successful improvement, safety action development will be completed in collaborative way with a flexible approach and support from the Quality</w:t>
      </w:r>
      <w:r w:rsidR="00AA5A12" w:rsidRPr="00845685">
        <w:rPr>
          <w:rFonts w:cs="Arial"/>
        </w:rPr>
        <w:t xml:space="preserve"> and </w:t>
      </w:r>
      <w:r w:rsidR="00513B5A" w:rsidRPr="00845685">
        <w:rPr>
          <w:rFonts w:cs="Arial"/>
        </w:rPr>
        <w:t xml:space="preserve">Senior </w:t>
      </w:r>
      <w:r w:rsidR="00280DBB">
        <w:rPr>
          <w:rFonts w:cs="Arial"/>
        </w:rPr>
        <w:t>C</w:t>
      </w:r>
      <w:r w:rsidR="00AA5A12" w:rsidRPr="00845685">
        <w:rPr>
          <w:rFonts w:cs="Arial"/>
        </w:rPr>
        <w:t xml:space="preserve">linical </w:t>
      </w:r>
      <w:r w:rsidR="00280DBB">
        <w:rPr>
          <w:rFonts w:cs="Arial"/>
        </w:rPr>
        <w:t>L</w:t>
      </w:r>
      <w:r w:rsidR="00AA5A12" w:rsidRPr="00845685">
        <w:rPr>
          <w:rFonts w:cs="Arial"/>
        </w:rPr>
        <w:t>eadership team</w:t>
      </w:r>
      <w:r w:rsidR="00280DBB">
        <w:rPr>
          <w:rFonts w:cs="Arial"/>
        </w:rPr>
        <w:t xml:space="preserve">, through the Patient Safety Group meetings, any issues will be escalated </w:t>
      </w:r>
      <w:r w:rsidR="00354F32">
        <w:rPr>
          <w:rFonts w:cs="Arial"/>
        </w:rPr>
        <w:t>to Senior Quality Review and Clinical Effectiveness Group as required.</w:t>
      </w:r>
    </w:p>
    <w:p w14:paraId="0F92A4B0" w14:textId="74052635" w:rsidR="007C3DDA" w:rsidRPr="00354F32" w:rsidRDefault="007C3DDA" w:rsidP="003F76CD">
      <w:pPr>
        <w:pStyle w:val="Heading2"/>
        <w:rPr>
          <w:sz w:val="22"/>
          <w:szCs w:val="22"/>
        </w:rPr>
      </w:pPr>
      <w:bookmarkStart w:id="28" w:name="_Toc204783833"/>
      <w:r w:rsidRPr="00354F32">
        <w:rPr>
          <w:sz w:val="22"/>
          <w:szCs w:val="22"/>
        </w:rPr>
        <w:t>Development of Safety Actions</w:t>
      </w:r>
      <w:bookmarkEnd w:id="28"/>
      <w:r w:rsidRPr="00354F32">
        <w:rPr>
          <w:sz w:val="22"/>
          <w:szCs w:val="22"/>
        </w:rPr>
        <w:t xml:space="preserve"> </w:t>
      </w:r>
    </w:p>
    <w:p w14:paraId="69A152E7" w14:textId="77777777" w:rsidR="007C3DDA" w:rsidRPr="00354F32" w:rsidRDefault="007C3DDA" w:rsidP="007C3DDA">
      <w:pPr>
        <w:pStyle w:val="Default"/>
        <w:rPr>
          <w:sz w:val="22"/>
          <w:szCs w:val="22"/>
        </w:rPr>
      </w:pPr>
    </w:p>
    <w:p w14:paraId="07C4BA73" w14:textId="6DE8D810" w:rsidR="007C3DDA" w:rsidRPr="00354F32" w:rsidRDefault="007C3DDA" w:rsidP="001F6C95">
      <w:r w:rsidRPr="00354F32">
        <w:lastRenderedPageBreak/>
        <w:t xml:space="preserve">FCMS will utilise processes for development of safety actions as outlined by NHS England; Safety Action Development Guide, (2022): </w:t>
      </w:r>
    </w:p>
    <w:p w14:paraId="1757A299" w14:textId="77777777" w:rsidR="00354F32" w:rsidRDefault="007C3DDA" w:rsidP="001F6C95">
      <w:pPr>
        <w:pStyle w:val="ListParagraph"/>
        <w:numPr>
          <w:ilvl w:val="0"/>
          <w:numId w:val="52"/>
        </w:numPr>
      </w:pPr>
      <w:r w:rsidRPr="00354F32">
        <w:t xml:space="preserve">Agree areas for improvement: specify where improvement is needed, without defining solutions. </w:t>
      </w:r>
    </w:p>
    <w:p w14:paraId="7C41FEE4" w14:textId="77777777" w:rsidR="00354F32" w:rsidRDefault="007C3DDA" w:rsidP="001F6C95">
      <w:pPr>
        <w:pStyle w:val="ListParagraph"/>
        <w:numPr>
          <w:ilvl w:val="0"/>
          <w:numId w:val="52"/>
        </w:numPr>
      </w:pPr>
      <w:r w:rsidRPr="00354F32">
        <w:t xml:space="preserve">Define context: this will allow agreement on the approach taken to safety action development. </w:t>
      </w:r>
    </w:p>
    <w:p w14:paraId="342E4EE7" w14:textId="77777777" w:rsidR="00354F32" w:rsidRDefault="007C3DDA" w:rsidP="001F6C95">
      <w:pPr>
        <w:pStyle w:val="ListParagraph"/>
        <w:numPr>
          <w:ilvl w:val="0"/>
          <w:numId w:val="52"/>
        </w:numPr>
      </w:pPr>
      <w:r w:rsidRPr="00354F32">
        <w:t xml:space="preserve">Define safety actions to address areas of improvement focuses on systems in collaboration with those teams involved. </w:t>
      </w:r>
    </w:p>
    <w:p w14:paraId="5165B8EE" w14:textId="77777777" w:rsidR="00354F32" w:rsidRDefault="007C3DDA" w:rsidP="001F6C95">
      <w:pPr>
        <w:pStyle w:val="ListParagraph"/>
        <w:numPr>
          <w:ilvl w:val="0"/>
          <w:numId w:val="52"/>
        </w:numPr>
      </w:pPr>
      <w:r w:rsidRPr="00354F32">
        <w:t xml:space="preserve">Prioritise safety actions to decide on testing for implementation. </w:t>
      </w:r>
    </w:p>
    <w:p w14:paraId="5A6BF840" w14:textId="77777777" w:rsidR="00354F32" w:rsidRPr="00354F32" w:rsidRDefault="00AF5AAA" w:rsidP="001F6C95">
      <w:pPr>
        <w:pStyle w:val="ListParagraph"/>
        <w:numPr>
          <w:ilvl w:val="0"/>
          <w:numId w:val="52"/>
        </w:numPr>
      </w:pPr>
      <w:r w:rsidRPr="00354F32">
        <w:rPr>
          <w:color w:val="000000"/>
        </w:rPr>
        <w:t xml:space="preserve">Define safety measures to demonstrate if actions are influencing what is intended. </w:t>
      </w:r>
    </w:p>
    <w:p w14:paraId="302EEA36" w14:textId="3D809030" w:rsidR="00AF5AAA" w:rsidRPr="00F44261" w:rsidRDefault="00AF5AAA" w:rsidP="00F44261">
      <w:pPr>
        <w:pStyle w:val="ListParagraph"/>
        <w:numPr>
          <w:ilvl w:val="0"/>
          <w:numId w:val="52"/>
        </w:numPr>
      </w:pPr>
      <w:r w:rsidRPr="00354F32">
        <w:rPr>
          <w:color w:val="000000"/>
        </w:rPr>
        <w:t xml:space="preserve">Safety actions will follow SMART principles and have designated owners. </w:t>
      </w:r>
    </w:p>
    <w:p w14:paraId="5A9BBB04" w14:textId="5B4AF740" w:rsidR="00AF5AAA" w:rsidRPr="00F44261" w:rsidRDefault="00AF5AAA" w:rsidP="003F76CD">
      <w:pPr>
        <w:pStyle w:val="Heading2"/>
        <w:rPr>
          <w:sz w:val="22"/>
          <w:szCs w:val="22"/>
        </w:rPr>
      </w:pPr>
      <w:bookmarkStart w:id="29" w:name="_Toc204783834"/>
      <w:r w:rsidRPr="00F44261">
        <w:rPr>
          <w:sz w:val="22"/>
          <w:szCs w:val="22"/>
        </w:rPr>
        <w:t xml:space="preserve">Safety </w:t>
      </w:r>
      <w:r w:rsidR="00AA600A">
        <w:rPr>
          <w:sz w:val="22"/>
          <w:szCs w:val="22"/>
        </w:rPr>
        <w:t>A</w:t>
      </w:r>
      <w:r w:rsidRPr="00F44261">
        <w:rPr>
          <w:sz w:val="22"/>
          <w:szCs w:val="22"/>
        </w:rPr>
        <w:t xml:space="preserve">ction </w:t>
      </w:r>
      <w:r w:rsidR="00AA600A">
        <w:rPr>
          <w:sz w:val="22"/>
          <w:szCs w:val="22"/>
        </w:rPr>
        <w:t>M</w:t>
      </w:r>
      <w:r w:rsidRPr="00F44261">
        <w:rPr>
          <w:sz w:val="22"/>
          <w:szCs w:val="22"/>
        </w:rPr>
        <w:t>onitoring</w:t>
      </w:r>
      <w:bookmarkEnd w:id="29"/>
      <w:r w:rsidRPr="00F44261">
        <w:rPr>
          <w:sz w:val="22"/>
          <w:szCs w:val="22"/>
        </w:rPr>
        <w:t xml:space="preserve"> </w:t>
      </w:r>
    </w:p>
    <w:p w14:paraId="5ACA518C" w14:textId="68605CCE" w:rsidR="007E5805" w:rsidRPr="00F44261" w:rsidRDefault="00AF5AAA" w:rsidP="00F44261">
      <w:r w:rsidRPr="00F44261">
        <w:t>Safety actions must continue to be monitored within service lines governance arrangements to ensure any actions put in place remain impactful and sustainable.</w:t>
      </w:r>
    </w:p>
    <w:p w14:paraId="1EA75A0D" w14:textId="3BE1CF16" w:rsidR="007E5805" w:rsidRPr="00F44261" w:rsidRDefault="003037CF" w:rsidP="003F76CD">
      <w:pPr>
        <w:pStyle w:val="Heading2"/>
        <w:rPr>
          <w:sz w:val="22"/>
          <w:szCs w:val="22"/>
        </w:rPr>
      </w:pPr>
      <w:bookmarkStart w:id="30" w:name="_Toc204783835"/>
      <w:r w:rsidRPr="00F44261">
        <w:rPr>
          <w:sz w:val="22"/>
          <w:szCs w:val="22"/>
        </w:rPr>
        <w:t xml:space="preserve">Safety </w:t>
      </w:r>
      <w:r w:rsidR="00F3503D">
        <w:rPr>
          <w:sz w:val="22"/>
          <w:szCs w:val="22"/>
        </w:rPr>
        <w:t>I</w:t>
      </w:r>
      <w:r w:rsidRPr="00F44261">
        <w:rPr>
          <w:sz w:val="22"/>
          <w:szCs w:val="22"/>
        </w:rPr>
        <w:t xml:space="preserve">mprovement </w:t>
      </w:r>
      <w:r w:rsidR="00F3503D">
        <w:rPr>
          <w:sz w:val="22"/>
          <w:szCs w:val="22"/>
        </w:rPr>
        <w:t>P</w:t>
      </w:r>
      <w:r w:rsidRPr="00F44261">
        <w:rPr>
          <w:sz w:val="22"/>
          <w:szCs w:val="22"/>
        </w:rPr>
        <w:t>lans</w:t>
      </w:r>
      <w:r w:rsidR="007E5805" w:rsidRPr="00F44261">
        <w:rPr>
          <w:sz w:val="22"/>
          <w:szCs w:val="22"/>
        </w:rPr>
        <w:t xml:space="preserve"> (</w:t>
      </w:r>
      <w:r w:rsidR="00F3503D">
        <w:rPr>
          <w:sz w:val="22"/>
          <w:szCs w:val="22"/>
        </w:rPr>
        <w:t>L</w:t>
      </w:r>
      <w:r w:rsidRPr="00F44261">
        <w:rPr>
          <w:sz w:val="22"/>
          <w:szCs w:val="22"/>
        </w:rPr>
        <w:t xml:space="preserve">ocal </w:t>
      </w:r>
      <w:r w:rsidR="00F3503D">
        <w:rPr>
          <w:sz w:val="22"/>
          <w:szCs w:val="22"/>
        </w:rPr>
        <w:t>P</w:t>
      </w:r>
      <w:r w:rsidRPr="00F44261">
        <w:rPr>
          <w:sz w:val="22"/>
          <w:szCs w:val="22"/>
        </w:rPr>
        <w:t>riorities</w:t>
      </w:r>
      <w:r w:rsidR="00194025" w:rsidRPr="00F44261">
        <w:rPr>
          <w:sz w:val="22"/>
          <w:szCs w:val="22"/>
        </w:rPr>
        <w:t>)</w:t>
      </w:r>
      <w:bookmarkEnd w:id="30"/>
      <w:r w:rsidR="007E5805" w:rsidRPr="00F44261">
        <w:rPr>
          <w:sz w:val="22"/>
          <w:szCs w:val="22"/>
        </w:rPr>
        <w:t xml:space="preserve"> </w:t>
      </w:r>
    </w:p>
    <w:p w14:paraId="453E472C" w14:textId="77777777" w:rsidR="007E5805" w:rsidRPr="00F44261" w:rsidRDefault="007E5805" w:rsidP="007E5805">
      <w:pPr>
        <w:pStyle w:val="Default"/>
        <w:rPr>
          <w:sz w:val="22"/>
          <w:szCs w:val="22"/>
        </w:rPr>
      </w:pPr>
    </w:p>
    <w:p w14:paraId="0D9537AC" w14:textId="0F7D9E8C" w:rsidR="007E5805" w:rsidRPr="00F44261" w:rsidRDefault="007E5805" w:rsidP="001F6C95">
      <w:r w:rsidRPr="00F44261">
        <w:t xml:space="preserve">Safety improvement plans bring together findings from various responses to patient safety events and issues. FCMS will have several safety improvement plans in place which are adapted to respond to outcomes of improvement efforts and other influences as national safety improvement programmes. </w:t>
      </w:r>
    </w:p>
    <w:p w14:paraId="72DE1CC3" w14:textId="4E6A9F7A" w:rsidR="00C845B5" w:rsidRPr="00F44261" w:rsidRDefault="007E5805" w:rsidP="001F6C95">
      <w:r w:rsidRPr="00F44261">
        <w:t xml:space="preserve">Our PSIRP has outlined local priorities for focus or response under the PSIRF. These were developed due to the opportunity they offer for learning an improvement across areas where there is no existing plan or where improvement efforts have not been accompanied by reduction in risk or harm. </w:t>
      </w:r>
    </w:p>
    <w:p w14:paraId="55302DFF" w14:textId="0705B813" w:rsidR="007E5805" w:rsidRPr="00F44261" w:rsidRDefault="00C845B5" w:rsidP="001F6C95">
      <w:r w:rsidRPr="00F44261">
        <w:t xml:space="preserve">We </w:t>
      </w:r>
      <w:r w:rsidR="007E5805" w:rsidRPr="00F44261">
        <w:t xml:space="preserve">will use the outcomes from existing patient safety reviews and any relevant learning response conducted under PSIRF to create related improvement plans to assist focus on our improvement work. </w:t>
      </w:r>
      <w:r w:rsidRPr="00F44261">
        <w:t xml:space="preserve">Our </w:t>
      </w:r>
      <w:proofErr w:type="gramStart"/>
      <w:r w:rsidRPr="00F44261">
        <w:t>Business</w:t>
      </w:r>
      <w:proofErr w:type="gramEnd"/>
      <w:r w:rsidRPr="00F44261">
        <w:t xml:space="preserve"> units</w:t>
      </w:r>
      <w:r w:rsidR="007E5805" w:rsidRPr="00F44261">
        <w:t xml:space="preserve"> will work collaboratively with Corporate Teams and others to ensure there is an aligned approach to development of plans and resultant improvement efforts. </w:t>
      </w:r>
    </w:p>
    <w:p w14:paraId="346161C2" w14:textId="5556499F" w:rsidR="007E5805" w:rsidRPr="00F44261" w:rsidRDefault="007E5805" w:rsidP="001F6C95">
      <w:r w:rsidRPr="00F44261">
        <w:t xml:space="preserve">Where overarching systems issues are identified by patient safety learning responses outside of </w:t>
      </w:r>
      <w:r w:rsidR="00A33DE3" w:rsidRPr="00F44261">
        <w:t>our</w:t>
      </w:r>
      <w:r w:rsidRPr="00F44261">
        <w:t xml:space="preserve"> priorities, a safety improvement plan will be developed. These will be identified through the PSIRF governance processes. </w:t>
      </w:r>
    </w:p>
    <w:p w14:paraId="794EA3F4" w14:textId="38FC9352" w:rsidR="001F6C95" w:rsidRPr="003A6F26" w:rsidRDefault="007E5805" w:rsidP="003A6F26">
      <w:r w:rsidRPr="00F44261">
        <w:t xml:space="preserve">Monitoring of progress for safety improvement plans, will be overseen by </w:t>
      </w:r>
      <w:r w:rsidR="00A33DE3" w:rsidRPr="00F44261">
        <w:t xml:space="preserve">the </w:t>
      </w:r>
      <w:r w:rsidR="003A6F26">
        <w:t>Patient Safety Group.</w:t>
      </w:r>
    </w:p>
    <w:p w14:paraId="61BBE88B" w14:textId="3D7DAA89" w:rsidR="00D83C98" w:rsidRPr="006F351C" w:rsidRDefault="00D83C98" w:rsidP="003A6F26">
      <w:pPr>
        <w:pStyle w:val="Heading2"/>
        <w:rPr>
          <w:sz w:val="22"/>
          <w:szCs w:val="22"/>
        </w:rPr>
      </w:pPr>
      <w:bookmarkStart w:id="31" w:name="_Toc204783836"/>
      <w:r w:rsidRPr="006F351C">
        <w:rPr>
          <w:sz w:val="22"/>
          <w:szCs w:val="22"/>
        </w:rPr>
        <w:t>O</w:t>
      </w:r>
      <w:r w:rsidR="00EC328E" w:rsidRPr="006F351C">
        <w:rPr>
          <w:sz w:val="22"/>
          <w:szCs w:val="22"/>
        </w:rPr>
        <w:t xml:space="preserve">versight </w:t>
      </w:r>
      <w:r w:rsidR="006F351C" w:rsidRPr="006F351C">
        <w:rPr>
          <w:sz w:val="22"/>
          <w:szCs w:val="22"/>
        </w:rPr>
        <w:t>R</w:t>
      </w:r>
      <w:r w:rsidR="00EC328E" w:rsidRPr="006F351C">
        <w:rPr>
          <w:sz w:val="22"/>
          <w:szCs w:val="22"/>
        </w:rPr>
        <w:t xml:space="preserve">oles and </w:t>
      </w:r>
      <w:r w:rsidR="006F351C" w:rsidRPr="006F351C">
        <w:rPr>
          <w:sz w:val="22"/>
          <w:szCs w:val="22"/>
        </w:rPr>
        <w:t>R</w:t>
      </w:r>
      <w:r w:rsidR="00EC328E" w:rsidRPr="006F351C">
        <w:rPr>
          <w:sz w:val="22"/>
          <w:szCs w:val="22"/>
        </w:rPr>
        <w:t>esponsibilities</w:t>
      </w:r>
      <w:bookmarkEnd w:id="31"/>
      <w:r w:rsidRPr="006F351C">
        <w:rPr>
          <w:sz w:val="22"/>
          <w:szCs w:val="22"/>
        </w:rPr>
        <w:t xml:space="preserve"> </w:t>
      </w:r>
    </w:p>
    <w:p w14:paraId="1BB40016" w14:textId="77777777" w:rsidR="00D83C98" w:rsidRPr="00EC328E" w:rsidRDefault="00D83C98" w:rsidP="00546E6A">
      <w:pPr>
        <w:pStyle w:val="Heading4"/>
      </w:pPr>
      <w:r w:rsidRPr="00EC328E">
        <w:t xml:space="preserve">Principles of oversight </w:t>
      </w:r>
    </w:p>
    <w:p w14:paraId="637414D2" w14:textId="77777777" w:rsidR="00D83C98" w:rsidRPr="00546E6A" w:rsidRDefault="00D83C98" w:rsidP="001F6C95">
      <w:r w:rsidRPr="00546E6A">
        <w:t xml:space="preserve">Working under PSIRF, organisations are advised to design oversight systems to allow an organisation to demonstrate improvement rather than compliance with centrally mandated measures. </w:t>
      </w:r>
    </w:p>
    <w:p w14:paraId="774FAB68" w14:textId="6682B1BD" w:rsidR="00D83C98" w:rsidRPr="00546E6A" w:rsidRDefault="000E0715" w:rsidP="00D83C98">
      <w:pPr>
        <w:pStyle w:val="Default"/>
        <w:rPr>
          <w:sz w:val="22"/>
          <w:szCs w:val="22"/>
        </w:rPr>
      </w:pPr>
      <w:r w:rsidRPr="00546E6A">
        <w:rPr>
          <w:sz w:val="22"/>
          <w:szCs w:val="22"/>
        </w:rPr>
        <w:lastRenderedPageBreak/>
        <w:t>FCMS</w:t>
      </w:r>
      <w:r w:rsidR="00D83C98" w:rsidRPr="00546E6A">
        <w:rPr>
          <w:sz w:val="22"/>
          <w:szCs w:val="22"/>
        </w:rPr>
        <w:t xml:space="preserve"> follows the “mindset” principles to underpin the processes we have in place to allow us to implement PSIRF as set out in the framework and supporting guidance. </w:t>
      </w:r>
    </w:p>
    <w:p w14:paraId="1E235275" w14:textId="77777777" w:rsidR="000E0715" w:rsidRPr="004E63E4" w:rsidRDefault="000E0715" w:rsidP="00D83C98">
      <w:pPr>
        <w:pStyle w:val="Default"/>
      </w:pPr>
    </w:p>
    <w:p w14:paraId="466F9CEE" w14:textId="77777777" w:rsidR="00D83C98" w:rsidRPr="00EC328E" w:rsidRDefault="00D83C98" w:rsidP="00546E6A">
      <w:pPr>
        <w:pStyle w:val="Heading4"/>
      </w:pPr>
      <w:r w:rsidRPr="00EC328E">
        <w:t xml:space="preserve">Responsibilities </w:t>
      </w:r>
    </w:p>
    <w:p w14:paraId="416FDD5E" w14:textId="5FD117B8" w:rsidR="00AB0CDF" w:rsidRPr="00984DC5" w:rsidRDefault="00D83C98" w:rsidP="00D83C98">
      <w:pPr>
        <w:pStyle w:val="Default"/>
        <w:rPr>
          <w:sz w:val="22"/>
          <w:szCs w:val="22"/>
        </w:rPr>
      </w:pPr>
      <w:r w:rsidRPr="00546E6A">
        <w:rPr>
          <w:sz w:val="22"/>
          <w:szCs w:val="22"/>
        </w:rPr>
        <w:t xml:space="preserve">Alongside </w:t>
      </w:r>
      <w:r w:rsidR="000E0715" w:rsidRPr="00546E6A">
        <w:rPr>
          <w:sz w:val="22"/>
          <w:szCs w:val="22"/>
        </w:rPr>
        <w:t>FCMS</w:t>
      </w:r>
      <w:r w:rsidRPr="00546E6A">
        <w:rPr>
          <w:sz w:val="22"/>
          <w:szCs w:val="22"/>
        </w:rPr>
        <w:t xml:space="preserve"> responsibilities, our lead ICBs, and our regulator the Care Quality Commission (CQC), will have specific responsibilities under PSIRF.</w:t>
      </w:r>
      <w:r w:rsidR="003D46CB">
        <w:rPr>
          <w:sz w:val="22"/>
          <w:szCs w:val="22"/>
        </w:rPr>
        <w:t xml:space="preserve"> Specific responsibilities relating to those working for FCMS are set out within the PSIRP.</w:t>
      </w:r>
    </w:p>
    <w:p w14:paraId="1BBA484D" w14:textId="77777777" w:rsidR="00A86ADA" w:rsidRDefault="00A86ADA" w:rsidP="00A86ADA">
      <w:pPr>
        <w:pStyle w:val="Heading4"/>
      </w:pPr>
    </w:p>
    <w:p w14:paraId="4D30F68E" w14:textId="48AC7967" w:rsidR="00AB0CDF" w:rsidRPr="00EC328E" w:rsidRDefault="00AB0CDF" w:rsidP="00A86ADA">
      <w:pPr>
        <w:pStyle w:val="Heading4"/>
      </w:pPr>
      <w:r w:rsidRPr="00EC328E">
        <w:t xml:space="preserve">FCMS board members </w:t>
      </w:r>
    </w:p>
    <w:p w14:paraId="1DED8525" w14:textId="77777777" w:rsidR="00AB0CDF" w:rsidRPr="00A86ADA" w:rsidRDefault="00AB0CDF" w:rsidP="00AB0CDF">
      <w:pPr>
        <w:autoSpaceDE w:val="0"/>
        <w:autoSpaceDN w:val="0"/>
        <w:adjustRightInd w:val="0"/>
        <w:spacing w:after="0" w:line="240" w:lineRule="auto"/>
        <w:rPr>
          <w:rFonts w:cs="Arial"/>
          <w:color w:val="000000"/>
        </w:rPr>
      </w:pPr>
      <w:r w:rsidRPr="00A86ADA">
        <w:rPr>
          <w:rFonts w:cs="Arial"/>
          <w:color w:val="000000"/>
        </w:rPr>
        <w:t>The Board is responsible and accountable for effective patient safety incident management across FCMS. This includes supporting and participating in cross-system/ multi-agency responses, and/or independent patient safety incident investigations (PSIIs) where required.</w:t>
      </w:r>
    </w:p>
    <w:p w14:paraId="7418E20D" w14:textId="11B6692C" w:rsidR="00AB0CDF" w:rsidRPr="00AB0CDF" w:rsidRDefault="00AB0CDF" w:rsidP="00080B09">
      <w:pPr>
        <w:pStyle w:val="Heading4"/>
      </w:pPr>
      <w:r w:rsidRPr="00AB0CDF">
        <w:t xml:space="preserve"> </w:t>
      </w:r>
    </w:p>
    <w:p w14:paraId="79A51384" w14:textId="77777777" w:rsidR="00AB0CDF" w:rsidRPr="00EC328E" w:rsidRDefault="00AB0CDF" w:rsidP="00080B09">
      <w:pPr>
        <w:pStyle w:val="Heading4"/>
      </w:pPr>
      <w:r w:rsidRPr="00AB0CDF">
        <w:t xml:space="preserve">Executive Leads </w:t>
      </w:r>
    </w:p>
    <w:p w14:paraId="2965DE05" w14:textId="77777777" w:rsidR="009F64DB" w:rsidRPr="009F64DB" w:rsidRDefault="00AB0CDF" w:rsidP="00AB0CDF">
      <w:pPr>
        <w:autoSpaceDE w:val="0"/>
        <w:autoSpaceDN w:val="0"/>
        <w:adjustRightInd w:val="0"/>
        <w:spacing w:after="0" w:line="240" w:lineRule="auto"/>
        <w:rPr>
          <w:rFonts w:cs="Arial"/>
          <w:color w:val="000000"/>
        </w:rPr>
      </w:pPr>
      <w:r w:rsidRPr="009F64DB">
        <w:rPr>
          <w:rFonts w:cs="Arial"/>
          <w:color w:val="000000"/>
        </w:rPr>
        <w:t>To meet these requirements, FCMS has designated the C</w:t>
      </w:r>
      <w:r w:rsidR="00744966" w:rsidRPr="009F64DB">
        <w:rPr>
          <w:rFonts w:cs="Arial"/>
          <w:color w:val="000000"/>
        </w:rPr>
        <w:t xml:space="preserve">hief </w:t>
      </w:r>
      <w:r w:rsidRPr="009F64DB">
        <w:rPr>
          <w:rFonts w:cs="Arial"/>
          <w:color w:val="000000"/>
        </w:rPr>
        <w:t>O</w:t>
      </w:r>
      <w:r w:rsidR="00744966" w:rsidRPr="009F64DB">
        <w:rPr>
          <w:rFonts w:cs="Arial"/>
          <w:color w:val="000000"/>
        </w:rPr>
        <w:t xml:space="preserve">perating </w:t>
      </w:r>
      <w:r w:rsidRPr="009F64DB">
        <w:rPr>
          <w:rFonts w:cs="Arial"/>
          <w:color w:val="000000"/>
        </w:rPr>
        <w:t>O</w:t>
      </w:r>
      <w:r w:rsidR="00744966" w:rsidRPr="009F64DB">
        <w:rPr>
          <w:rFonts w:cs="Arial"/>
          <w:color w:val="000000"/>
        </w:rPr>
        <w:t>fficer (COO)</w:t>
      </w:r>
      <w:r w:rsidRPr="009F64DB">
        <w:rPr>
          <w:rFonts w:cs="Arial"/>
          <w:color w:val="000000"/>
        </w:rPr>
        <w:t xml:space="preserve"> as the executive lead to support PSIRF. This enables us to:</w:t>
      </w:r>
    </w:p>
    <w:p w14:paraId="6FC2DF67" w14:textId="77777777" w:rsidR="009F64DB" w:rsidRPr="009F64DB" w:rsidRDefault="00AB0CDF" w:rsidP="00AB0CDF">
      <w:pPr>
        <w:pStyle w:val="ListParagraph"/>
        <w:numPr>
          <w:ilvl w:val="0"/>
          <w:numId w:val="53"/>
        </w:numPr>
        <w:autoSpaceDE w:val="0"/>
        <w:autoSpaceDN w:val="0"/>
        <w:adjustRightInd w:val="0"/>
        <w:spacing w:after="0" w:line="240" w:lineRule="auto"/>
        <w:rPr>
          <w:rFonts w:cs="Arial"/>
          <w:color w:val="000000"/>
        </w:rPr>
      </w:pPr>
      <w:r w:rsidRPr="009F64DB">
        <w:rPr>
          <w:rFonts w:cs="Arial"/>
          <w:color w:val="000000"/>
        </w:rPr>
        <w:t xml:space="preserve">Ensure we meet the national patient safety standards. </w:t>
      </w:r>
    </w:p>
    <w:p w14:paraId="75DD9360" w14:textId="77777777" w:rsidR="009F64DB" w:rsidRPr="009F64DB" w:rsidRDefault="00AB0CDF" w:rsidP="00AB0CDF">
      <w:pPr>
        <w:pStyle w:val="ListParagraph"/>
        <w:numPr>
          <w:ilvl w:val="0"/>
          <w:numId w:val="53"/>
        </w:numPr>
        <w:autoSpaceDE w:val="0"/>
        <w:autoSpaceDN w:val="0"/>
        <w:adjustRightInd w:val="0"/>
        <w:spacing w:after="0" w:line="240" w:lineRule="auto"/>
        <w:rPr>
          <w:rFonts w:cs="Arial"/>
          <w:color w:val="000000"/>
        </w:rPr>
      </w:pPr>
      <w:r w:rsidRPr="009F64DB">
        <w:rPr>
          <w:rFonts w:cs="Arial"/>
          <w:color w:val="000000"/>
        </w:rPr>
        <w:t>Ensure that PSIRF is central to overarching safety governance arrangements.</w:t>
      </w:r>
    </w:p>
    <w:p w14:paraId="5D43F9C0" w14:textId="0EBCA39E" w:rsidR="00AB0CDF" w:rsidRPr="009F64DB" w:rsidRDefault="00AB0CDF" w:rsidP="00AB0CDF">
      <w:pPr>
        <w:pStyle w:val="ListParagraph"/>
        <w:numPr>
          <w:ilvl w:val="0"/>
          <w:numId w:val="53"/>
        </w:numPr>
        <w:autoSpaceDE w:val="0"/>
        <w:autoSpaceDN w:val="0"/>
        <w:adjustRightInd w:val="0"/>
        <w:spacing w:after="0" w:line="240" w:lineRule="auto"/>
        <w:rPr>
          <w:rFonts w:cs="Arial"/>
          <w:color w:val="000000"/>
        </w:rPr>
      </w:pPr>
      <w:r w:rsidRPr="009F64DB">
        <w:rPr>
          <w:rFonts w:cs="Arial"/>
          <w:color w:val="000000"/>
        </w:rPr>
        <w:t xml:space="preserve">Quality assuring learning response outputs. </w:t>
      </w:r>
    </w:p>
    <w:p w14:paraId="13D11FD5" w14:textId="77777777" w:rsidR="00AB0CDF" w:rsidRPr="009F64DB" w:rsidRDefault="00AB0CDF" w:rsidP="00AB0CDF">
      <w:pPr>
        <w:autoSpaceDE w:val="0"/>
        <w:autoSpaceDN w:val="0"/>
        <w:adjustRightInd w:val="0"/>
        <w:spacing w:after="0" w:line="240" w:lineRule="auto"/>
        <w:rPr>
          <w:rFonts w:cs="Arial"/>
          <w:color w:val="000000"/>
        </w:rPr>
      </w:pPr>
    </w:p>
    <w:p w14:paraId="58BEE321" w14:textId="60F6899E" w:rsidR="00AB0CDF" w:rsidRPr="009F64DB" w:rsidRDefault="00AB0CDF" w:rsidP="00AB0CDF">
      <w:pPr>
        <w:autoSpaceDE w:val="0"/>
        <w:autoSpaceDN w:val="0"/>
        <w:adjustRightInd w:val="0"/>
        <w:spacing w:after="0" w:line="240" w:lineRule="auto"/>
        <w:rPr>
          <w:rFonts w:cs="Arial"/>
          <w:color w:val="000000"/>
        </w:rPr>
      </w:pPr>
      <w:r w:rsidRPr="009F64DB">
        <w:rPr>
          <w:rFonts w:cs="Arial"/>
          <w:color w:val="000000"/>
        </w:rPr>
        <w:t xml:space="preserve">The </w:t>
      </w:r>
      <w:r w:rsidR="00F05EB3" w:rsidRPr="009F64DB">
        <w:rPr>
          <w:rFonts w:cs="Arial"/>
          <w:color w:val="000000"/>
        </w:rPr>
        <w:t>COO</w:t>
      </w:r>
      <w:r w:rsidRPr="009F64DB">
        <w:rPr>
          <w:rFonts w:cs="Arial"/>
          <w:color w:val="000000"/>
        </w:rPr>
        <w:t xml:space="preserve"> will provide direct leadership, advice, support in complex/ high profile cases, and liaise with external bodies, as required, in collaboration with the Medical Director. </w:t>
      </w:r>
    </w:p>
    <w:p w14:paraId="68BFD13B" w14:textId="77777777" w:rsidR="00A06BA8" w:rsidRPr="009F64DB" w:rsidRDefault="00A06BA8" w:rsidP="00AB0CDF">
      <w:pPr>
        <w:autoSpaceDE w:val="0"/>
        <w:autoSpaceDN w:val="0"/>
        <w:adjustRightInd w:val="0"/>
        <w:spacing w:after="0" w:line="240" w:lineRule="auto"/>
        <w:rPr>
          <w:rFonts w:cs="Arial"/>
          <w:color w:val="000000"/>
        </w:rPr>
      </w:pPr>
    </w:p>
    <w:p w14:paraId="2E1C3E09" w14:textId="58A16BBE" w:rsidR="00AB0CDF" w:rsidRPr="009F64DB" w:rsidRDefault="00AB0CDF" w:rsidP="00AB0CDF">
      <w:pPr>
        <w:autoSpaceDE w:val="0"/>
        <w:autoSpaceDN w:val="0"/>
        <w:adjustRightInd w:val="0"/>
        <w:spacing w:after="0" w:line="240" w:lineRule="auto"/>
        <w:rPr>
          <w:rFonts w:cs="Arial"/>
          <w:color w:val="000000"/>
        </w:rPr>
      </w:pPr>
      <w:r w:rsidRPr="009F64DB">
        <w:rPr>
          <w:rFonts w:cs="Arial"/>
          <w:color w:val="000000"/>
        </w:rPr>
        <w:t xml:space="preserve">The </w:t>
      </w:r>
      <w:r w:rsidR="00675A74" w:rsidRPr="009F64DB">
        <w:rPr>
          <w:rFonts w:cs="Arial"/>
          <w:color w:val="000000"/>
        </w:rPr>
        <w:t>COO</w:t>
      </w:r>
      <w:r w:rsidRPr="009F64DB">
        <w:rPr>
          <w:rFonts w:cs="Arial"/>
          <w:color w:val="000000"/>
        </w:rPr>
        <w:t xml:space="preserve"> has the overarching responsibility for the quality of patient safety learning responses and PSIIs. </w:t>
      </w:r>
      <w:r w:rsidR="00675A74" w:rsidRPr="009F64DB">
        <w:rPr>
          <w:rFonts w:cs="Arial"/>
          <w:color w:val="000000"/>
        </w:rPr>
        <w:t xml:space="preserve">They </w:t>
      </w:r>
      <w:r w:rsidR="00744966" w:rsidRPr="009F64DB">
        <w:rPr>
          <w:rFonts w:cs="Arial"/>
          <w:color w:val="000000"/>
        </w:rPr>
        <w:t xml:space="preserve">also </w:t>
      </w:r>
      <w:r w:rsidR="00675A74" w:rsidRPr="009F64DB">
        <w:rPr>
          <w:rFonts w:cs="Arial"/>
          <w:color w:val="000000"/>
        </w:rPr>
        <w:t>have</w:t>
      </w:r>
      <w:r w:rsidRPr="009F64DB">
        <w:rPr>
          <w:rFonts w:cs="Arial"/>
          <w:color w:val="000000"/>
        </w:rPr>
        <w:t xml:space="preserve"> the overarching responsibili</w:t>
      </w:r>
      <w:r w:rsidR="00744966" w:rsidRPr="009F64DB">
        <w:rPr>
          <w:rFonts w:cs="Arial"/>
          <w:color w:val="000000"/>
        </w:rPr>
        <w:t>ty</w:t>
      </w:r>
      <w:r w:rsidRPr="009F64DB">
        <w:rPr>
          <w:rFonts w:cs="Arial"/>
          <w:color w:val="000000"/>
        </w:rPr>
        <w:t xml:space="preserve"> for safety learning and improvement. The Medical Director is overall accountable for patient safety for </w:t>
      </w:r>
      <w:r w:rsidR="00744966" w:rsidRPr="009F64DB">
        <w:rPr>
          <w:rFonts w:cs="Arial"/>
          <w:color w:val="000000"/>
        </w:rPr>
        <w:t>FCMS</w:t>
      </w:r>
      <w:r w:rsidRPr="009F64DB">
        <w:rPr>
          <w:rFonts w:cs="Arial"/>
          <w:color w:val="000000"/>
        </w:rPr>
        <w:t xml:space="preserve">. </w:t>
      </w:r>
    </w:p>
    <w:p w14:paraId="79654437" w14:textId="77777777" w:rsidR="00A06BA8" w:rsidRDefault="00A06BA8" w:rsidP="00AB0CDF">
      <w:pPr>
        <w:autoSpaceDE w:val="0"/>
        <w:autoSpaceDN w:val="0"/>
        <w:adjustRightInd w:val="0"/>
        <w:spacing w:after="0" w:line="240" w:lineRule="auto"/>
        <w:rPr>
          <w:rFonts w:cs="Arial"/>
          <w:color w:val="000000"/>
          <w:sz w:val="24"/>
          <w:szCs w:val="24"/>
        </w:rPr>
      </w:pPr>
    </w:p>
    <w:p w14:paraId="5858A76C" w14:textId="4A9AFEA8" w:rsidR="00543C84" w:rsidRPr="009F64DB" w:rsidRDefault="005B2A90" w:rsidP="00AB0CDF">
      <w:pPr>
        <w:autoSpaceDE w:val="0"/>
        <w:autoSpaceDN w:val="0"/>
        <w:adjustRightInd w:val="0"/>
        <w:spacing w:after="0" w:line="240" w:lineRule="auto"/>
        <w:rPr>
          <w:rFonts w:cs="Arial"/>
          <w:color w:val="000000"/>
        </w:rPr>
      </w:pPr>
      <w:r w:rsidRPr="009F64DB">
        <w:rPr>
          <w:rFonts w:cs="Arial"/>
          <w:color w:val="000000"/>
        </w:rPr>
        <w:t>Each Executive Director is equipped with the training and professional development as described in the national patient safety incident response standards.</w:t>
      </w:r>
    </w:p>
    <w:p w14:paraId="1BD1424E" w14:textId="78234F8F" w:rsidR="00E84423" w:rsidRPr="00E84423" w:rsidRDefault="00EC328E" w:rsidP="003F76CD">
      <w:pPr>
        <w:pStyle w:val="Heading3"/>
        <w:rPr>
          <w:b/>
        </w:rPr>
      </w:pPr>
      <w:bookmarkStart w:id="32" w:name="_Toc204783837"/>
      <w:r w:rsidRPr="00A06BA8">
        <w:t xml:space="preserve">Complaints and </w:t>
      </w:r>
      <w:r w:rsidR="00284C4B">
        <w:t>A</w:t>
      </w:r>
      <w:r w:rsidRPr="00A06BA8">
        <w:t>ppeals process</w:t>
      </w:r>
      <w:bookmarkEnd w:id="32"/>
    </w:p>
    <w:p w14:paraId="45E9629B" w14:textId="215F1289" w:rsidR="00E84423" w:rsidRPr="00543C84" w:rsidRDefault="00E84423" w:rsidP="00E84423">
      <w:pPr>
        <w:rPr>
          <w:rFonts w:cs="Arial"/>
        </w:rPr>
      </w:pPr>
      <w:r w:rsidRPr="00543C84">
        <w:rPr>
          <w:rFonts w:cs="Arial"/>
        </w:rPr>
        <w:t xml:space="preserve">FCMS recognises that there will be occasions when patients, services users and carers are dissatisfied with the aspects of care and services provided by the us. </w:t>
      </w:r>
    </w:p>
    <w:p w14:paraId="2578BDF6" w14:textId="58B8B89B" w:rsidR="00E84423" w:rsidRPr="00543C84" w:rsidRDefault="00E84423" w:rsidP="00E84423">
      <w:pPr>
        <w:rPr>
          <w:rFonts w:cs="Arial"/>
        </w:rPr>
      </w:pPr>
      <w:r w:rsidRPr="00543C84">
        <w:rPr>
          <w:rFonts w:cs="Arial"/>
        </w:rPr>
        <w:t>It is important to understand that there is a distinction between complaints and concerns as the use of the word complaint should not automatically mean that someone expressing a concern enters the complaints process.</w:t>
      </w:r>
    </w:p>
    <w:p w14:paraId="241C3E31" w14:textId="4820CC5F" w:rsidR="00E84423" w:rsidRPr="00543C84" w:rsidRDefault="00E84423" w:rsidP="00E84423">
      <w:pPr>
        <w:rPr>
          <w:rFonts w:cs="Arial"/>
        </w:rPr>
      </w:pPr>
      <w:r w:rsidRPr="00543C84">
        <w:rPr>
          <w:rFonts w:cs="Arial"/>
        </w:rPr>
        <w:t xml:space="preserve">The first point of contact with </w:t>
      </w:r>
      <w:r w:rsidR="009461DC" w:rsidRPr="00543C84">
        <w:rPr>
          <w:rFonts w:cs="Arial"/>
        </w:rPr>
        <w:t>us</w:t>
      </w:r>
      <w:r w:rsidRPr="00543C84">
        <w:rPr>
          <w:rFonts w:cs="Arial"/>
        </w:rPr>
        <w:t xml:space="preserve"> to raise a concern is </w:t>
      </w:r>
      <w:r w:rsidR="00BE78A0" w:rsidRPr="00543C84">
        <w:rPr>
          <w:rFonts w:cs="Arial"/>
        </w:rPr>
        <w:t xml:space="preserve">usually </w:t>
      </w:r>
      <w:r w:rsidRPr="00543C84">
        <w:rPr>
          <w:rFonts w:cs="Arial"/>
        </w:rPr>
        <w:t xml:space="preserve">via the </w:t>
      </w:r>
      <w:r w:rsidR="009461DC" w:rsidRPr="00543C84">
        <w:rPr>
          <w:rFonts w:cs="Arial"/>
        </w:rPr>
        <w:t xml:space="preserve">local teams or via our </w:t>
      </w:r>
      <w:r w:rsidR="00EC328E" w:rsidRPr="00543C84">
        <w:rPr>
          <w:rFonts w:cs="Arial"/>
        </w:rPr>
        <w:t>website.</w:t>
      </w:r>
      <w:r w:rsidRPr="00543C84">
        <w:rPr>
          <w:rFonts w:cs="Arial"/>
        </w:rPr>
        <w:t xml:space="preserve"> </w:t>
      </w:r>
    </w:p>
    <w:p w14:paraId="6A8A9DA3" w14:textId="4A9351A5" w:rsidR="00E84423" w:rsidRPr="00543C84" w:rsidRDefault="00E84423" w:rsidP="00E84423">
      <w:pPr>
        <w:rPr>
          <w:rFonts w:cs="Arial"/>
        </w:rPr>
      </w:pPr>
      <w:r w:rsidRPr="00543C84">
        <w:rPr>
          <w:rFonts w:cs="Arial"/>
        </w:rPr>
        <w:t xml:space="preserve">Complaints are defined as expressions of dissatisfaction from a patient, their family or carer, a person acting as their representative or any person who is affected or likely to be affected by the action, omission or decision of </w:t>
      </w:r>
      <w:r w:rsidR="00BE78A0" w:rsidRPr="00543C84">
        <w:rPr>
          <w:rFonts w:cs="Arial"/>
        </w:rPr>
        <w:t>FCMS</w:t>
      </w:r>
      <w:r w:rsidRPr="00543C84">
        <w:rPr>
          <w:rFonts w:cs="Arial"/>
        </w:rPr>
        <w:t xml:space="preserve"> and requires a formal review. </w:t>
      </w:r>
    </w:p>
    <w:p w14:paraId="62CE6D20" w14:textId="0747ADB1" w:rsidR="00E84423" w:rsidRPr="00543C84" w:rsidRDefault="00BE78A0" w:rsidP="00E84423">
      <w:pPr>
        <w:rPr>
          <w:rFonts w:cs="Arial"/>
        </w:rPr>
      </w:pPr>
      <w:r w:rsidRPr="00543C84">
        <w:rPr>
          <w:rFonts w:cs="Arial"/>
        </w:rPr>
        <w:t>We are</w:t>
      </w:r>
      <w:r w:rsidR="00E84423" w:rsidRPr="00543C84">
        <w:rPr>
          <w:rFonts w:cs="Arial"/>
        </w:rPr>
        <w:t xml:space="preserve"> committed to dealing with any complaints that may arise quickly and as effectively as possible as set out in the </w:t>
      </w:r>
      <w:r w:rsidR="00584DE2">
        <w:rPr>
          <w:rFonts w:cs="Arial"/>
        </w:rPr>
        <w:t>NHS Complaints Standards</w:t>
      </w:r>
      <w:r w:rsidR="00B00F3B">
        <w:rPr>
          <w:rFonts w:cs="Arial"/>
        </w:rPr>
        <w:t xml:space="preserve"> </w:t>
      </w:r>
      <w:r w:rsidR="00650885">
        <w:rPr>
          <w:rFonts w:cs="Arial"/>
        </w:rPr>
        <w:t xml:space="preserve">2022, as </w:t>
      </w:r>
      <w:r w:rsidR="00B00F3B">
        <w:rPr>
          <w:rFonts w:cs="Arial"/>
        </w:rPr>
        <w:t>published by the PHSO</w:t>
      </w:r>
      <w:r w:rsidR="00650885">
        <w:rPr>
          <w:rFonts w:cs="Arial"/>
        </w:rPr>
        <w:t>.</w:t>
      </w:r>
    </w:p>
    <w:p w14:paraId="4180623D" w14:textId="14F9677A" w:rsidR="0018110D" w:rsidRPr="00DF60AA" w:rsidRDefault="00E84423" w:rsidP="004D2FA1">
      <w:pPr>
        <w:rPr>
          <w:rFonts w:cs="Arial"/>
        </w:rPr>
      </w:pPr>
      <w:r w:rsidRPr="00DF60AA">
        <w:rPr>
          <w:rFonts w:cs="Arial"/>
        </w:rPr>
        <w:t>Complaints will be handled respectfully</w:t>
      </w:r>
      <w:r w:rsidR="00650885" w:rsidRPr="00DF60AA">
        <w:rPr>
          <w:rFonts w:cs="Arial"/>
        </w:rPr>
        <w:t xml:space="preserve">, in line with our Complaints Policy </w:t>
      </w:r>
      <w:r w:rsidRPr="00DF60AA">
        <w:rPr>
          <w:rFonts w:cs="Arial"/>
        </w:rPr>
        <w:t>ensuring that all parties concerned</w:t>
      </w:r>
      <w:r w:rsidR="00DF60AA" w:rsidRPr="00DF60AA">
        <w:rPr>
          <w:rFonts w:cs="Arial"/>
        </w:rPr>
        <w:t xml:space="preserve"> are involved and engaged </w:t>
      </w:r>
      <w:r w:rsidRPr="00DF60AA">
        <w:rPr>
          <w:rFonts w:cs="Arial"/>
        </w:rPr>
        <w:t xml:space="preserve">in the process and assured that the issues </w:t>
      </w:r>
      <w:r w:rsidRPr="00DF60AA">
        <w:rPr>
          <w:rFonts w:cs="Arial"/>
        </w:rPr>
        <w:lastRenderedPageBreak/>
        <w:t xml:space="preserve">raised have been comprehensively reviewed and the outcomes shared in an open and honest manner. </w:t>
      </w:r>
      <w:bookmarkStart w:id="33" w:name="_Toc97733658"/>
      <w:bookmarkStart w:id="34" w:name="_Toc97734159"/>
      <w:bookmarkEnd w:id="33"/>
      <w:bookmarkEnd w:id="34"/>
    </w:p>
    <w:p w14:paraId="186600BC" w14:textId="4005201E" w:rsidR="003D5F83" w:rsidRPr="00284C4B" w:rsidRDefault="003D5F83" w:rsidP="003D5F83">
      <w:pPr>
        <w:pStyle w:val="Heading2"/>
        <w:rPr>
          <w:sz w:val="22"/>
          <w:szCs w:val="22"/>
        </w:rPr>
      </w:pPr>
      <w:bookmarkStart w:id="35" w:name="_Toc204783838"/>
      <w:r w:rsidRPr="00284C4B">
        <w:rPr>
          <w:sz w:val="22"/>
          <w:szCs w:val="22"/>
        </w:rPr>
        <w:t xml:space="preserve">References and </w:t>
      </w:r>
      <w:r w:rsidR="00E738E1">
        <w:rPr>
          <w:sz w:val="22"/>
          <w:szCs w:val="22"/>
        </w:rPr>
        <w:t xml:space="preserve">Further </w:t>
      </w:r>
      <w:r w:rsidRPr="00284C4B">
        <w:rPr>
          <w:sz w:val="22"/>
          <w:szCs w:val="22"/>
        </w:rPr>
        <w:t>Re</w:t>
      </w:r>
      <w:r w:rsidR="00E738E1">
        <w:rPr>
          <w:sz w:val="22"/>
          <w:szCs w:val="22"/>
        </w:rPr>
        <w:t>ading</w:t>
      </w:r>
      <w:bookmarkEnd w:id="35"/>
    </w:p>
    <w:p w14:paraId="1DD1868F" w14:textId="77777777" w:rsidR="00694F9B" w:rsidRDefault="00694F9B" w:rsidP="00ED24C8">
      <w:pPr>
        <w:pStyle w:val="Heading4"/>
      </w:pPr>
      <w:r>
        <w:t>Legislation</w:t>
      </w:r>
    </w:p>
    <w:p w14:paraId="0BDF8020" w14:textId="456CF3CA" w:rsidR="00694F9B" w:rsidRDefault="00DA6024" w:rsidP="00694F9B">
      <w:r>
        <w:t>Equality Act 2010:</w:t>
      </w:r>
      <w:r w:rsidR="00E738E1">
        <w:t xml:space="preserve"> </w:t>
      </w:r>
      <w:hyperlink r:id="rId14" w:history="1">
        <w:r w:rsidR="00E738E1" w:rsidRPr="00E738E1">
          <w:rPr>
            <w:rStyle w:val="Hyperlink"/>
          </w:rPr>
          <w:t>Equality Act 2010</w:t>
        </w:r>
      </w:hyperlink>
    </w:p>
    <w:p w14:paraId="2FF64B9C" w14:textId="3C55DFDC" w:rsidR="00DA6024" w:rsidRDefault="00E14647" w:rsidP="00694F9B">
      <w:r>
        <w:t xml:space="preserve">Regulation 20: Duty of Candour, Health and Social Care Act 2008: </w:t>
      </w:r>
      <w:hyperlink r:id="rId15" w:history="1">
        <w:r w:rsidR="00ED7045" w:rsidRPr="00565805">
          <w:rPr>
            <w:rStyle w:val="Hyperlink"/>
          </w:rPr>
          <w:t>https://www.cqc.org.uk/guidance-regulation/providers/regulations-service-providers-and-managers/health-social-care-act/regulation-20</w:t>
        </w:r>
      </w:hyperlink>
      <w:r w:rsidR="00ED7045">
        <w:t xml:space="preserve"> </w:t>
      </w:r>
    </w:p>
    <w:p w14:paraId="19E771D2" w14:textId="276D6E64" w:rsidR="00EF0ECA" w:rsidRPr="00694F9B" w:rsidRDefault="00055974" w:rsidP="00694F9B">
      <w:r>
        <w:t>Care</w:t>
      </w:r>
      <w:r w:rsidR="00EF0ECA">
        <w:t xml:space="preserve"> Quality Commission (Registration) Regulations 2009: </w:t>
      </w:r>
      <w:hyperlink r:id="rId16" w:history="1">
        <w:r w:rsidRPr="00565805">
          <w:rPr>
            <w:rStyle w:val="Hyperlink"/>
          </w:rPr>
          <w:t>https://www.cqc.org.uk/guidance-regulation/providers/regulations-service-providers-and-managers/cqc-registration-regulations</w:t>
        </w:r>
      </w:hyperlink>
      <w:r>
        <w:t xml:space="preserve"> </w:t>
      </w:r>
    </w:p>
    <w:p w14:paraId="66247B68" w14:textId="4BDAC11C" w:rsidR="00DF60AA" w:rsidRDefault="00DF60AA" w:rsidP="00ED24C8">
      <w:pPr>
        <w:pStyle w:val="Heading4"/>
      </w:pPr>
      <w:r>
        <w:t>Internal</w:t>
      </w:r>
      <w:r w:rsidR="006B5492">
        <w:t>-Only</w:t>
      </w:r>
      <w:r>
        <w:t xml:space="preserve"> Policies and Procedures</w:t>
      </w:r>
    </w:p>
    <w:p w14:paraId="66FB57B4" w14:textId="4393E4EA" w:rsidR="00775414" w:rsidRDefault="0001536F" w:rsidP="00775414">
      <w:r>
        <w:t>Patient Safety Incident Response Plan:</w:t>
      </w:r>
    </w:p>
    <w:p w14:paraId="7327F7FA" w14:textId="12668B30" w:rsidR="0001536F" w:rsidRDefault="00E51549" w:rsidP="00775414">
      <w:r>
        <w:t xml:space="preserve">Incident </w:t>
      </w:r>
      <w:r w:rsidR="00877753">
        <w:t xml:space="preserve">Reporting Policy: </w:t>
      </w:r>
      <w:hyperlink r:id="rId17" w:history="1">
        <w:r w:rsidR="00877753" w:rsidRPr="00877753">
          <w:rPr>
            <w:rStyle w:val="Hyperlink"/>
          </w:rPr>
          <w:t>Incident Reporting and SUI Policy .pdf</w:t>
        </w:r>
      </w:hyperlink>
    </w:p>
    <w:p w14:paraId="6CBB3BF0" w14:textId="0B1379EE" w:rsidR="00A40344" w:rsidRDefault="00A40344" w:rsidP="00775414">
      <w:r>
        <w:t xml:space="preserve">Being Open and Duty of Candour Policy: </w:t>
      </w:r>
      <w:hyperlink r:id="rId18" w:history="1">
        <w:r w:rsidR="00373EB5" w:rsidRPr="00373EB5">
          <w:rPr>
            <w:rStyle w:val="Hyperlink"/>
          </w:rPr>
          <w:t>Being Open and Duty of Candour policy.pdf</w:t>
        </w:r>
      </w:hyperlink>
    </w:p>
    <w:p w14:paraId="39B0FCBC" w14:textId="77777777" w:rsidR="00373EB5" w:rsidRPr="00373EB5" w:rsidRDefault="00373EB5" w:rsidP="00373EB5">
      <w:r>
        <w:t xml:space="preserve">Clinical Governance Framework: </w:t>
      </w:r>
      <w:hyperlink r:id="rId19" w:history="1">
        <w:r w:rsidRPr="00373EB5">
          <w:rPr>
            <w:rStyle w:val="Hyperlink"/>
          </w:rPr>
          <w:t>Clinical Governance Framework.pdf</w:t>
        </w:r>
      </w:hyperlink>
    </w:p>
    <w:p w14:paraId="7B4FEF0B" w14:textId="77777777" w:rsidR="00C74C0D" w:rsidRPr="00C74C0D" w:rsidRDefault="00C74C0D" w:rsidP="00C74C0D">
      <w:r>
        <w:t xml:space="preserve">Complaints Procedure: </w:t>
      </w:r>
      <w:hyperlink r:id="rId20" w:history="1">
        <w:r w:rsidRPr="00C74C0D">
          <w:rPr>
            <w:rStyle w:val="Hyperlink"/>
          </w:rPr>
          <w:t>Complaints Procedure.pdf</w:t>
        </w:r>
      </w:hyperlink>
    </w:p>
    <w:p w14:paraId="2E14FC5F" w14:textId="165E3E33" w:rsidR="00040F2B" w:rsidRPr="00040F2B" w:rsidRDefault="00040F2B" w:rsidP="00040F2B">
      <w:r>
        <w:t xml:space="preserve">Corporate Risk Management Framework: </w:t>
      </w:r>
      <w:hyperlink r:id="rId21" w:history="1">
        <w:r w:rsidRPr="00040F2B">
          <w:rPr>
            <w:rStyle w:val="Hyperlink"/>
          </w:rPr>
          <w:t>Corporate Risk Management Framework.pdf</w:t>
        </w:r>
      </w:hyperlink>
    </w:p>
    <w:p w14:paraId="04B68146" w14:textId="5E9F50AE" w:rsidR="00373EB5" w:rsidRPr="00775414" w:rsidRDefault="00C16156" w:rsidP="00775414">
      <w:r>
        <w:t xml:space="preserve">Health and Safety Policy: </w:t>
      </w:r>
      <w:hyperlink r:id="rId22" w:history="1">
        <w:r w:rsidR="004A52A0" w:rsidRPr="004A52A0">
          <w:rPr>
            <w:rStyle w:val="Hyperlink"/>
          </w:rPr>
          <w:t>Health and Safety Policy.pdf</w:t>
        </w:r>
      </w:hyperlink>
    </w:p>
    <w:p w14:paraId="3AEA7194" w14:textId="5C4C01D8" w:rsidR="00B916DE" w:rsidRDefault="00B916DE" w:rsidP="00ED24C8">
      <w:pPr>
        <w:pStyle w:val="Heading4"/>
      </w:pPr>
      <w:r>
        <w:t>Internal</w:t>
      </w:r>
      <w:r w:rsidR="006B5492">
        <w:t xml:space="preserve">-Only </w:t>
      </w:r>
      <w:r>
        <w:t>Tools and Resources</w:t>
      </w:r>
    </w:p>
    <w:p w14:paraId="7F8EF8F7" w14:textId="7347DE3F" w:rsidR="00560BB0" w:rsidRPr="006B5492" w:rsidRDefault="00560BB0" w:rsidP="00560BB0">
      <w:r w:rsidRPr="006B5492">
        <w:t>Patient Safety Glossary:</w:t>
      </w:r>
      <w:r w:rsidR="006B5492" w:rsidRPr="006B5492">
        <w:t xml:space="preserve"> </w:t>
      </w:r>
      <w:hyperlink r:id="rId23" w:history="1">
        <w:r w:rsidR="006B5492" w:rsidRPr="006B5492">
          <w:rPr>
            <w:rStyle w:val="Hyperlink"/>
          </w:rPr>
          <w:t>Patient Safety Glossary V1.docx</w:t>
        </w:r>
      </w:hyperlink>
    </w:p>
    <w:p w14:paraId="52236198" w14:textId="34D9F160" w:rsidR="00560BB0" w:rsidRPr="00C27080" w:rsidRDefault="00560BB0" w:rsidP="00560BB0">
      <w:r w:rsidRPr="00C27080">
        <w:t>Patient Safety Event Management Flowchart:</w:t>
      </w:r>
      <w:r w:rsidR="00D43C40" w:rsidRPr="00C27080">
        <w:t xml:space="preserve"> </w:t>
      </w:r>
      <w:hyperlink r:id="rId24" w:history="1">
        <w:r w:rsidR="00D43C40" w:rsidRPr="00C27080">
          <w:rPr>
            <w:rStyle w:val="Hyperlink"/>
          </w:rPr>
          <w:t>Patient Safety Management Flowchart V1.docx</w:t>
        </w:r>
      </w:hyperlink>
    </w:p>
    <w:p w14:paraId="4E172A9F" w14:textId="6EBA75A9" w:rsidR="00B916DE" w:rsidRPr="00C27080" w:rsidRDefault="00E55C17" w:rsidP="00F116C6">
      <w:r w:rsidRPr="00C27080">
        <w:t>Learning Response Method Decision Tree</w:t>
      </w:r>
      <w:r w:rsidR="00F116C6" w:rsidRPr="00C27080">
        <w:t>:</w:t>
      </w:r>
      <w:r w:rsidR="00D43C40" w:rsidRPr="00C27080">
        <w:t xml:space="preserve"> </w:t>
      </w:r>
      <w:hyperlink r:id="rId25" w:history="1">
        <w:r w:rsidR="00C27080" w:rsidRPr="00C27080">
          <w:rPr>
            <w:rStyle w:val="Hyperlink"/>
          </w:rPr>
          <w:t>PSIRF - Learning Response Method Decision Tree V1.docx</w:t>
        </w:r>
      </w:hyperlink>
    </w:p>
    <w:p w14:paraId="7C05B3B8" w14:textId="2ED8765D" w:rsidR="00F116C6" w:rsidRPr="00B9007D" w:rsidRDefault="00F116C6" w:rsidP="00F116C6">
      <w:r w:rsidRPr="00B9007D">
        <w:t>Patient Safety Group Terms of Reference:</w:t>
      </w:r>
      <w:r w:rsidR="00BC3246" w:rsidRPr="00B9007D">
        <w:t xml:space="preserve"> </w:t>
      </w:r>
      <w:hyperlink r:id="rId26" w:history="1">
        <w:r w:rsidR="00DA33FC" w:rsidRPr="00B9007D">
          <w:rPr>
            <w:rStyle w:val="Hyperlink"/>
          </w:rPr>
          <w:t>Patient Safety Group TOR.docx</w:t>
        </w:r>
      </w:hyperlink>
    </w:p>
    <w:p w14:paraId="35CB84CF" w14:textId="74C2C2D0" w:rsidR="00F116C6" w:rsidRPr="00F116C6" w:rsidRDefault="00B92E92" w:rsidP="00F116C6">
      <w:r w:rsidRPr="00B9007D">
        <w:t>Clinical Effectiveness Group Terms of Reference:</w:t>
      </w:r>
      <w:r w:rsidR="00E31E56" w:rsidRPr="00B9007D">
        <w:t xml:space="preserve"> </w:t>
      </w:r>
      <w:hyperlink r:id="rId27" w:history="1">
        <w:r w:rsidR="00E31E56" w:rsidRPr="00B9007D">
          <w:rPr>
            <w:rStyle w:val="Hyperlink"/>
          </w:rPr>
          <w:t>Clinical Effectiveness Group TOR.docx</w:t>
        </w:r>
      </w:hyperlink>
    </w:p>
    <w:p w14:paraId="0BA31B4C" w14:textId="4F14052B" w:rsidR="00ED24C8" w:rsidRDefault="00DF60AA" w:rsidP="00ED24C8">
      <w:pPr>
        <w:pStyle w:val="Heading4"/>
      </w:pPr>
      <w:r>
        <w:t>External Publications</w:t>
      </w:r>
    </w:p>
    <w:p w14:paraId="5FA3BCB5" w14:textId="2DC3B257" w:rsidR="003D5F83" w:rsidRDefault="005117F3" w:rsidP="004D2FA1">
      <w:r>
        <w:t xml:space="preserve">Rapid Policy Review into </w:t>
      </w:r>
      <w:r w:rsidR="00FB6354">
        <w:t xml:space="preserve">Gross Negligence Manslaughter: </w:t>
      </w:r>
      <w:hyperlink r:id="rId28" w:history="1">
        <w:r w:rsidR="003D5F83" w:rsidRPr="0041521E">
          <w:rPr>
            <w:rStyle w:val="Hyperlink"/>
          </w:rPr>
          <w:t>Professor Sir Norman Williams’s Review</w:t>
        </w:r>
      </w:hyperlink>
    </w:p>
    <w:p w14:paraId="1BE8CFA0" w14:textId="7714541E" w:rsidR="00052200" w:rsidRDefault="00052200" w:rsidP="004D2FA1">
      <w:r>
        <w:t xml:space="preserve">Serious Incident Framework 2015: </w:t>
      </w:r>
      <w:hyperlink r:id="rId29" w:history="1">
        <w:r w:rsidRPr="00052200">
          <w:rPr>
            <w:rStyle w:val="Hyperlink"/>
          </w:rPr>
          <w:t>NHS England » Serious Incident framework</w:t>
        </w:r>
      </w:hyperlink>
    </w:p>
    <w:p w14:paraId="44464D8F" w14:textId="2643C7DB" w:rsidR="00DF228D" w:rsidRDefault="00DF228D" w:rsidP="004D2FA1">
      <w:r>
        <w:t>Professor James Reason</w:t>
      </w:r>
      <w:r w:rsidR="00B2140D">
        <w:t>, “A roadmap to a just culture: Enhancing the safety environment</w:t>
      </w:r>
      <w:r w:rsidR="00127D7B">
        <w:t>, 2004</w:t>
      </w:r>
    </w:p>
    <w:p w14:paraId="76ABB2EC" w14:textId="068B7CE6" w:rsidR="00B60334" w:rsidRDefault="007D36DC" w:rsidP="004D2FA1">
      <w:r>
        <w:lastRenderedPageBreak/>
        <w:t xml:space="preserve">NHS Complaints Standards 2022: </w:t>
      </w:r>
      <w:hyperlink r:id="rId30" w:history="1">
        <w:r w:rsidRPr="00565805">
          <w:rPr>
            <w:rStyle w:val="Hyperlink"/>
          </w:rPr>
          <w:t>https://www.ombudsman.org.uk/sites/default/files/NHS_Complaints_Standard_Spring_2021_Easy_Read%20_29Mar21.pdf</w:t>
        </w:r>
      </w:hyperlink>
      <w:r>
        <w:t xml:space="preserve"> </w:t>
      </w:r>
    </w:p>
    <w:p w14:paraId="67231CCF" w14:textId="58C627B1" w:rsidR="00163AEC" w:rsidRDefault="00660907" w:rsidP="004D2FA1">
      <w:r>
        <w:t xml:space="preserve">Core20PLUS5 (adults) </w:t>
      </w:r>
      <w:r w:rsidR="008C5D57">
        <w:t>–</w:t>
      </w:r>
      <w:r>
        <w:t xml:space="preserve"> </w:t>
      </w:r>
      <w:r w:rsidR="008C5D57">
        <w:t xml:space="preserve">An approach to reducing health inequalities at both national and system level, NHS England &amp; Improvement: </w:t>
      </w:r>
      <w:hyperlink r:id="rId31" w:history="1">
        <w:r w:rsidR="00FD5A48" w:rsidRPr="00565805">
          <w:rPr>
            <w:rStyle w:val="Hyperlink"/>
          </w:rPr>
          <w:t>https://www.england.nhs.uk/about/equality/equality-hub/national-healthcare-inequalities-improvement-programme/core20plus5/</w:t>
        </w:r>
      </w:hyperlink>
      <w:r w:rsidR="00FD5A48">
        <w:t xml:space="preserve"> </w:t>
      </w:r>
    </w:p>
    <w:p w14:paraId="2B028317" w14:textId="1F9D71DC" w:rsidR="00674482" w:rsidRDefault="00674482" w:rsidP="004D2FA1">
      <w:r>
        <w:t xml:space="preserve">Learn from Patient Safety Events (LFPSE) service: </w:t>
      </w:r>
      <w:hyperlink r:id="rId32" w:history="1">
        <w:r w:rsidRPr="00565805">
          <w:rPr>
            <w:rStyle w:val="Hyperlink"/>
          </w:rPr>
          <w:t>https://www.england.nhs.uk/patient-safety/patient-safety-insight/learning-from-patient-safety-events/</w:t>
        </w:r>
      </w:hyperlink>
      <w:r>
        <w:t xml:space="preserve"> </w:t>
      </w:r>
    </w:p>
    <w:p w14:paraId="499BE847" w14:textId="24E5ED0A" w:rsidR="000E42B9" w:rsidRDefault="000E42B9" w:rsidP="004D2FA1">
      <w:r>
        <w:t xml:space="preserve">Safety Action Development Guide 2022, NHS England: </w:t>
      </w:r>
      <w:hyperlink r:id="rId33" w:history="1">
        <w:r w:rsidRPr="000E42B9">
          <w:rPr>
            <w:rStyle w:val="Hyperlink"/>
          </w:rPr>
          <w:t>B1465-Safety-action-development-v1.1.pdf</w:t>
        </w:r>
      </w:hyperlink>
    </w:p>
    <w:p w14:paraId="6D9F58EF" w14:textId="61C41B45" w:rsidR="00ED24C8" w:rsidRDefault="00775414" w:rsidP="00775414">
      <w:pPr>
        <w:pStyle w:val="Heading4"/>
        <w:rPr>
          <w:i w:val="0"/>
          <w:iCs w:val="0"/>
        </w:rPr>
      </w:pPr>
      <w:r>
        <w:t>PSIRF Guidance published by NHS England</w:t>
      </w:r>
    </w:p>
    <w:p w14:paraId="5D49768F" w14:textId="57633CD5" w:rsidR="004A52A0" w:rsidRDefault="00311C93" w:rsidP="004A52A0">
      <w:r>
        <w:t xml:space="preserve">Patient Safety Incident Response Framework: </w:t>
      </w:r>
      <w:hyperlink r:id="rId34" w:history="1">
        <w:r w:rsidRPr="00565805">
          <w:rPr>
            <w:rStyle w:val="Hyperlink"/>
          </w:rPr>
          <w:t>https://www.england.nhs.uk/long-read/patient-safety-incident-response-framework/</w:t>
        </w:r>
      </w:hyperlink>
      <w:r>
        <w:t xml:space="preserve"> </w:t>
      </w:r>
    </w:p>
    <w:p w14:paraId="3F577232" w14:textId="2282CB33" w:rsidR="00311C93" w:rsidRDefault="00311C93" w:rsidP="004A52A0">
      <w:r>
        <w:t xml:space="preserve">Engaging and involving patients, families and staff following a patient safety incident: </w:t>
      </w:r>
      <w:hyperlink r:id="rId35" w:history="1">
        <w:r w:rsidRPr="00565805">
          <w:rPr>
            <w:rStyle w:val="Hyperlink"/>
          </w:rPr>
          <w:t>https://www.england.nhs.uk/wp-content/uploads/2022/08/B1465-2.-Engaging-and-involving...-v1-FINAL.pdf</w:t>
        </w:r>
      </w:hyperlink>
    </w:p>
    <w:p w14:paraId="67DA6580" w14:textId="79141503" w:rsidR="00311C93" w:rsidRDefault="00ED3736" w:rsidP="004A52A0">
      <w:r>
        <w:t xml:space="preserve">Guide to responding proportionately to patient safety incidents: </w:t>
      </w:r>
      <w:hyperlink r:id="rId36" w:history="1">
        <w:r w:rsidRPr="00565805">
          <w:rPr>
            <w:rStyle w:val="Hyperlink"/>
          </w:rPr>
          <w:t>https://www.england.nhs.uk/wp-content/uploads/2022/08/b1465-3.-guide-to-responding-proportionately-to-patient-safety-incidents-v1.2.pdf</w:t>
        </w:r>
      </w:hyperlink>
    </w:p>
    <w:p w14:paraId="5D9A2150" w14:textId="6CCB1299" w:rsidR="00ED3736" w:rsidRDefault="0030779E" w:rsidP="004A52A0">
      <w:r>
        <w:t xml:space="preserve">Oversight roles and responsibilities specification: </w:t>
      </w:r>
      <w:hyperlink r:id="rId37" w:history="1">
        <w:r w:rsidRPr="00565805">
          <w:rPr>
            <w:rStyle w:val="Hyperlink"/>
          </w:rPr>
          <w:t>https://www.england.nhs.uk/wp-content/uploads/2022/08/B1465-4.-Oversight-roles-and-responsibilities-specification-v1-FINAL.pdf</w:t>
        </w:r>
      </w:hyperlink>
      <w:r>
        <w:t xml:space="preserve"> </w:t>
      </w:r>
    </w:p>
    <w:p w14:paraId="3F7AFA21" w14:textId="219F8CFA" w:rsidR="0030779E" w:rsidRDefault="0030779E" w:rsidP="004A52A0">
      <w:r>
        <w:t xml:space="preserve">Patient Safety Incident Response Standards: </w:t>
      </w:r>
      <w:hyperlink r:id="rId38" w:history="1">
        <w:r w:rsidRPr="00565805">
          <w:rPr>
            <w:rStyle w:val="Hyperlink"/>
          </w:rPr>
          <w:t>https://www.england.nhs.uk/long-read/patient-safety-incident-response-standards/</w:t>
        </w:r>
      </w:hyperlink>
      <w:r>
        <w:t xml:space="preserve"> </w:t>
      </w:r>
    </w:p>
    <w:p w14:paraId="6DF09E90" w14:textId="67109026" w:rsidR="00202F45" w:rsidRDefault="00202F45" w:rsidP="004A52A0">
      <w:r>
        <w:t xml:space="preserve">Applying the Patient Safety Incident Response Framework outside of NHS Trusts: </w:t>
      </w:r>
      <w:hyperlink r:id="rId39" w:history="1">
        <w:r w:rsidRPr="00565805">
          <w:rPr>
            <w:rStyle w:val="Hyperlink"/>
          </w:rPr>
          <w:t>https://www.england.nhs.uk/long-read/applying-the-patient-safety-incident-response-framework-outside-of-nhs-trusts/</w:t>
        </w:r>
      </w:hyperlink>
      <w:r>
        <w:t xml:space="preserve"> </w:t>
      </w:r>
    </w:p>
    <w:p w14:paraId="1B2380CC" w14:textId="477D16CA" w:rsidR="00DC130A" w:rsidRPr="004A52A0" w:rsidRDefault="00DC130A" w:rsidP="004A52A0">
      <w:r>
        <w:t xml:space="preserve">Patient Safety Learning Response Toolkit: </w:t>
      </w:r>
      <w:hyperlink r:id="rId40" w:history="1">
        <w:r w:rsidRPr="00565805">
          <w:rPr>
            <w:rStyle w:val="Hyperlink"/>
          </w:rPr>
          <w:t>https://www.england.nhs.uk/publication/patient-safety-learning-response-toolkit</w:t>
        </w:r>
      </w:hyperlink>
      <w:r>
        <w:t xml:space="preserve"> </w:t>
      </w:r>
    </w:p>
    <w:sectPr w:rsidR="00DC130A" w:rsidRPr="004A52A0">
      <w:headerReference w:type="even" r:id="rId41"/>
      <w:headerReference w:type="default" r:id="rId42"/>
      <w:footerReference w:type="default" r:id="rId43"/>
      <w:headerReference w:type="first" r:id="rId4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36905" w14:textId="77777777" w:rsidR="00EB153B" w:rsidRDefault="00EB153B" w:rsidP="00B31C5A">
      <w:pPr>
        <w:spacing w:after="0" w:line="240" w:lineRule="auto"/>
      </w:pPr>
      <w:r>
        <w:separator/>
      </w:r>
    </w:p>
  </w:endnote>
  <w:endnote w:type="continuationSeparator" w:id="0">
    <w:p w14:paraId="04CF5593" w14:textId="77777777" w:rsidR="00EB153B" w:rsidRDefault="00EB153B" w:rsidP="00B31C5A">
      <w:pPr>
        <w:spacing w:after="0" w:line="240" w:lineRule="auto"/>
      </w:pPr>
      <w:r>
        <w:continuationSeparator/>
      </w:r>
    </w:p>
  </w:endnote>
  <w:endnote w:type="continuationNotice" w:id="1">
    <w:p w14:paraId="645FBC79" w14:textId="77777777" w:rsidR="00EB153B" w:rsidRDefault="00EB15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8D56A" w14:textId="26F34447" w:rsidR="00C0519A" w:rsidRPr="0015328C" w:rsidRDefault="00AA721F" w:rsidP="00114E2F">
    <w:pPr>
      <w:tabs>
        <w:tab w:val="left" w:pos="1418"/>
      </w:tabs>
      <w:spacing w:before="120" w:after="120" w:line="240" w:lineRule="auto"/>
      <w:ind w:left="-567" w:right="-45"/>
      <w:rPr>
        <w:rFonts w:ascii="Calibri" w:eastAsia="Calibri" w:hAnsi="Calibri" w:cs="Times New Roman"/>
        <w:sz w:val="24"/>
        <w:szCs w:val="24"/>
      </w:rPr>
    </w:pPr>
    <w:r>
      <w:rPr>
        <w:sz w:val="24"/>
        <w:szCs w:val="24"/>
      </w:rPr>
      <w:t>Policy for the Patient Safety Incident Response</w:t>
    </w:r>
    <w:r w:rsidR="00CC640A">
      <w:rPr>
        <w:sz w:val="24"/>
        <w:szCs w:val="24"/>
      </w:rPr>
      <w:t xml:space="preserve"> </w:t>
    </w:r>
    <w:r>
      <w:rPr>
        <w:sz w:val="24"/>
        <w:szCs w:val="24"/>
      </w:rPr>
      <w:t>Framework, FCMS</w:t>
    </w:r>
    <w:r>
      <w:rPr>
        <w:sz w:val="24"/>
        <w:szCs w:val="24"/>
      </w:rPr>
      <w:br/>
    </w:r>
    <w:r w:rsidR="00936DFE">
      <w:rPr>
        <w:sz w:val="24"/>
        <w:szCs w:val="24"/>
      </w:rPr>
      <w:t>July 2025</w:t>
    </w:r>
    <w:r>
      <w:rPr>
        <w:sz w:val="24"/>
        <w:szCs w:val="24"/>
      </w:rPr>
      <w:t xml:space="preserve">, </w:t>
    </w:r>
    <w:r w:rsidR="00CC640A">
      <w:rPr>
        <w:sz w:val="24"/>
        <w:szCs w:val="24"/>
      </w:rPr>
      <w:t xml:space="preserve">Author </w:t>
    </w:r>
    <w:r>
      <w:rPr>
        <w:sz w:val="24"/>
        <w:szCs w:val="24"/>
      </w:rPr>
      <w:t>Emily Taylor</w:t>
    </w:r>
  </w:p>
  <w:p w14:paraId="465049A1" w14:textId="77777777" w:rsidR="00C0519A" w:rsidRDefault="00C0519A" w:rsidP="00F17175">
    <w:pPr>
      <w:pStyle w:val="Footer"/>
      <w:jc w:val="center"/>
    </w:pPr>
    <w:r>
      <w:ptab w:relativeTo="margin" w:alignment="right" w:leader="none"/>
    </w:r>
    <w:r>
      <w:t xml:space="preserve">Page </w:t>
    </w:r>
    <w:r>
      <w:rPr>
        <w:b/>
      </w:rPr>
      <w:fldChar w:fldCharType="begin"/>
    </w:r>
    <w:r>
      <w:rPr>
        <w:b/>
      </w:rPr>
      <w:instrText xml:space="preserve"> PAGE  \* Arabic  \* MERGEFORMAT </w:instrText>
    </w:r>
    <w:r>
      <w:rPr>
        <w:b/>
      </w:rPr>
      <w:fldChar w:fldCharType="separate"/>
    </w:r>
    <w:r>
      <w:rPr>
        <w:b/>
        <w:noProof/>
      </w:rPr>
      <w:t>12</w:t>
    </w:r>
    <w:r>
      <w:rPr>
        <w:b/>
      </w:rPr>
      <w:fldChar w:fldCharType="end"/>
    </w:r>
    <w:r>
      <w:t xml:space="preserve"> of </w:t>
    </w:r>
    <w:r>
      <w:rPr>
        <w:b/>
      </w:rPr>
      <w:fldChar w:fldCharType="begin"/>
    </w:r>
    <w:r>
      <w:rPr>
        <w:b/>
      </w:rPr>
      <w:instrText xml:space="preserve"> NUMPAGES  \* Arabic  \* MERGEFORMAT </w:instrText>
    </w:r>
    <w:r>
      <w:rPr>
        <w:b/>
      </w:rPr>
      <w:fldChar w:fldCharType="separate"/>
    </w:r>
    <w:r>
      <w:rPr>
        <w:b/>
        <w:noProof/>
      </w:rPr>
      <w:t>12</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E7168" w14:textId="77777777" w:rsidR="00EB153B" w:rsidRDefault="00EB153B" w:rsidP="00B31C5A">
      <w:pPr>
        <w:spacing w:after="0" w:line="240" w:lineRule="auto"/>
      </w:pPr>
      <w:r>
        <w:separator/>
      </w:r>
    </w:p>
  </w:footnote>
  <w:footnote w:type="continuationSeparator" w:id="0">
    <w:p w14:paraId="7F930EB7" w14:textId="77777777" w:rsidR="00EB153B" w:rsidRDefault="00EB153B" w:rsidP="00B31C5A">
      <w:pPr>
        <w:spacing w:after="0" w:line="240" w:lineRule="auto"/>
      </w:pPr>
      <w:r>
        <w:continuationSeparator/>
      </w:r>
    </w:p>
  </w:footnote>
  <w:footnote w:type="continuationNotice" w:id="1">
    <w:p w14:paraId="2520771E" w14:textId="77777777" w:rsidR="00EB153B" w:rsidRDefault="00EB15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791F0" w14:textId="62920D5D" w:rsidR="005F1D60" w:rsidRDefault="005F1D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BF92A" w14:textId="1817A3E5" w:rsidR="005F1D60" w:rsidRDefault="005F1D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6EA5" w14:textId="7D2A8089" w:rsidR="005F1D60" w:rsidRDefault="005F1D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78EB9E8"/>
    <w:multiLevelType w:val="hybridMultilevel"/>
    <w:tmpl w:val="C367117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01C73"/>
    <w:multiLevelType w:val="hybridMultilevel"/>
    <w:tmpl w:val="5CEAEA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0C11B96"/>
    <w:multiLevelType w:val="hybridMultilevel"/>
    <w:tmpl w:val="0BBC9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826A38"/>
    <w:multiLevelType w:val="hybridMultilevel"/>
    <w:tmpl w:val="6E680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933558"/>
    <w:multiLevelType w:val="hybridMultilevel"/>
    <w:tmpl w:val="B78E3628"/>
    <w:lvl w:ilvl="0" w:tplc="0D8C39F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DA445F"/>
    <w:multiLevelType w:val="hybridMultilevel"/>
    <w:tmpl w:val="4712F684"/>
    <w:lvl w:ilvl="0" w:tplc="E89EBA86">
      <w:start w:val="1"/>
      <w:numFmt w:val="bullet"/>
      <w:lvlText w:val=""/>
      <w:lvlJc w:val="left"/>
      <w:pPr>
        <w:ind w:left="1440" w:hanging="360"/>
      </w:pPr>
      <w:rPr>
        <w:rFonts w:ascii="Symbol" w:hAnsi="Symbol" w:hint="default"/>
        <w:b/>
        <w:i w:val="0"/>
        <w:sz w:val="2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9EA7A69"/>
    <w:multiLevelType w:val="hybridMultilevel"/>
    <w:tmpl w:val="DFB6EA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E47E8F"/>
    <w:multiLevelType w:val="hybridMultilevel"/>
    <w:tmpl w:val="1EF28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F46807"/>
    <w:multiLevelType w:val="hybridMultilevel"/>
    <w:tmpl w:val="305EE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1C207C"/>
    <w:multiLevelType w:val="hybridMultilevel"/>
    <w:tmpl w:val="EA86B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341662"/>
    <w:multiLevelType w:val="hybridMultilevel"/>
    <w:tmpl w:val="D258F646"/>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1" w15:restartNumberingAfterBreak="0">
    <w:nsid w:val="19812BCE"/>
    <w:multiLevelType w:val="hybridMultilevel"/>
    <w:tmpl w:val="984C0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854349"/>
    <w:multiLevelType w:val="hybridMultilevel"/>
    <w:tmpl w:val="30464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E75656"/>
    <w:multiLevelType w:val="hybridMultilevel"/>
    <w:tmpl w:val="A1B8B8B6"/>
    <w:lvl w:ilvl="0" w:tplc="9B36E158">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3D47D9"/>
    <w:multiLevelType w:val="hybridMultilevel"/>
    <w:tmpl w:val="E7A444BC"/>
    <w:lvl w:ilvl="0" w:tplc="90822CC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A7F22F9"/>
    <w:multiLevelType w:val="hybridMultilevel"/>
    <w:tmpl w:val="CFCA2D50"/>
    <w:lvl w:ilvl="0" w:tplc="E89EBA86">
      <w:start w:val="1"/>
      <w:numFmt w:val="bullet"/>
      <w:lvlText w:val=""/>
      <w:lvlJc w:val="left"/>
      <w:pPr>
        <w:ind w:left="720" w:hanging="360"/>
      </w:pPr>
      <w:rPr>
        <w:rFonts w:ascii="Symbol" w:hAnsi="Symbol" w:hint="default"/>
        <w:b/>
        <w:i w:val="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776AFB"/>
    <w:multiLevelType w:val="hybridMultilevel"/>
    <w:tmpl w:val="E1A054D4"/>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17" w15:restartNumberingAfterBreak="0">
    <w:nsid w:val="250444A6"/>
    <w:multiLevelType w:val="multilevel"/>
    <w:tmpl w:val="A3940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9B669B7"/>
    <w:multiLevelType w:val="hybridMultilevel"/>
    <w:tmpl w:val="BB3C5F5C"/>
    <w:lvl w:ilvl="0" w:tplc="C270E7D0">
      <w:start w:val="1"/>
      <w:numFmt w:val="bullet"/>
      <w:lvlText w:val=""/>
      <w:lvlJc w:val="left"/>
      <w:pPr>
        <w:ind w:left="720" w:hanging="360"/>
      </w:pPr>
      <w:rPr>
        <w:rFonts w:ascii="Symbol" w:hAnsi="Symbol" w:hint="default"/>
        <w:color w:val="005EB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150C47"/>
    <w:multiLevelType w:val="hybridMultilevel"/>
    <w:tmpl w:val="BFFCBFF4"/>
    <w:lvl w:ilvl="0" w:tplc="E89EBA86">
      <w:start w:val="1"/>
      <w:numFmt w:val="bullet"/>
      <w:lvlText w:val=""/>
      <w:lvlJc w:val="left"/>
      <w:pPr>
        <w:ind w:left="360" w:hanging="360"/>
      </w:pPr>
      <w:rPr>
        <w:rFonts w:ascii="Symbol" w:hAnsi="Symbol" w:hint="default"/>
        <w:b/>
        <w:i w:val="0"/>
        <w:sz w:val="20"/>
      </w:rPr>
    </w:lvl>
    <w:lvl w:ilvl="1" w:tplc="9C587E1C">
      <w:numFmt w:val="bullet"/>
      <w:lvlText w:val="-"/>
      <w:lvlJc w:val="left"/>
      <w:pPr>
        <w:ind w:left="1080" w:hanging="360"/>
      </w:pPr>
      <w:rPr>
        <w:rFonts w:ascii="Calibri" w:eastAsia="Times New Roman" w:hAnsi="Calibri" w:cs="Calibri"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BCE49A8"/>
    <w:multiLevelType w:val="hybridMultilevel"/>
    <w:tmpl w:val="B77E03D2"/>
    <w:lvl w:ilvl="0" w:tplc="EF1EDB38">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9F32EB"/>
    <w:multiLevelType w:val="hybridMultilevel"/>
    <w:tmpl w:val="1EB8CD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059066E"/>
    <w:multiLevelType w:val="hybridMultilevel"/>
    <w:tmpl w:val="A15260FA"/>
    <w:lvl w:ilvl="0" w:tplc="F69C481C">
      <w:start w:val="1"/>
      <w:numFmt w:val="bullet"/>
      <w:lvlText w:val=""/>
      <w:lvlJc w:val="left"/>
      <w:pPr>
        <w:tabs>
          <w:tab w:val="num" w:pos="360"/>
        </w:tabs>
        <w:ind w:left="360" w:hanging="360"/>
      </w:pPr>
      <w:rPr>
        <w:rFonts w:ascii="Symbol" w:hAnsi="Symbol" w:hint="default"/>
        <w:sz w:val="20"/>
        <w:szCs w:val="20"/>
      </w:rPr>
    </w:lvl>
    <w:lvl w:ilvl="1" w:tplc="08090003">
      <w:start w:val="1"/>
      <w:numFmt w:val="bullet"/>
      <w:lvlText w:val="o"/>
      <w:lvlJc w:val="left"/>
      <w:pPr>
        <w:tabs>
          <w:tab w:val="num" w:pos="720"/>
        </w:tabs>
        <w:ind w:left="720" w:hanging="360"/>
      </w:pPr>
      <w:rPr>
        <w:rFonts w:ascii="Courier New" w:hAnsi="Courier New" w:cs="Courier New" w:hint="default"/>
      </w:rPr>
    </w:lvl>
    <w:lvl w:ilvl="2" w:tplc="08090005">
      <w:start w:val="1"/>
      <w:numFmt w:val="bullet"/>
      <w:lvlText w:val=""/>
      <w:lvlJc w:val="left"/>
      <w:pPr>
        <w:tabs>
          <w:tab w:val="num" w:pos="1440"/>
        </w:tabs>
        <w:ind w:left="1440" w:hanging="360"/>
      </w:pPr>
      <w:rPr>
        <w:rFonts w:ascii="Wingdings" w:hAnsi="Wingdings" w:hint="default"/>
      </w:rPr>
    </w:lvl>
    <w:lvl w:ilvl="3" w:tplc="08090001">
      <w:start w:val="1"/>
      <w:numFmt w:val="bullet"/>
      <w:lvlText w:val=""/>
      <w:lvlJc w:val="left"/>
      <w:pPr>
        <w:tabs>
          <w:tab w:val="num" w:pos="2160"/>
        </w:tabs>
        <w:ind w:left="2160" w:hanging="360"/>
      </w:pPr>
      <w:rPr>
        <w:rFonts w:ascii="Symbol" w:hAnsi="Symbol" w:hint="default"/>
      </w:rPr>
    </w:lvl>
    <w:lvl w:ilvl="4" w:tplc="08090003">
      <w:start w:val="1"/>
      <w:numFmt w:val="bullet"/>
      <w:lvlText w:val="o"/>
      <w:lvlJc w:val="left"/>
      <w:pPr>
        <w:tabs>
          <w:tab w:val="num" w:pos="2880"/>
        </w:tabs>
        <w:ind w:left="2880" w:hanging="360"/>
      </w:pPr>
      <w:rPr>
        <w:rFonts w:ascii="Courier New" w:hAnsi="Courier New" w:cs="Courier New" w:hint="default"/>
      </w:rPr>
    </w:lvl>
    <w:lvl w:ilvl="5" w:tplc="08090005">
      <w:start w:val="1"/>
      <w:numFmt w:val="bullet"/>
      <w:lvlText w:val=""/>
      <w:lvlJc w:val="left"/>
      <w:pPr>
        <w:tabs>
          <w:tab w:val="num" w:pos="3600"/>
        </w:tabs>
        <w:ind w:left="3600" w:hanging="360"/>
      </w:pPr>
      <w:rPr>
        <w:rFonts w:ascii="Wingdings" w:hAnsi="Wingdings" w:hint="default"/>
      </w:rPr>
    </w:lvl>
    <w:lvl w:ilvl="6" w:tplc="08090001">
      <w:start w:val="1"/>
      <w:numFmt w:val="bullet"/>
      <w:lvlText w:val=""/>
      <w:lvlJc w:val="left"/>
      <w:pPr>
        <w:tabs>
          <w:tab w:val="num" w:pos="4320"/>
        </w:tabs>
        <w:ind w:left="4320" w:hanging="360"/>
      </w:pPr>
      <w:rPr>
        <w:rFonts w:ascii="Symbol" w:hAnsi="Symbol" w:hint="default"/>
      </w:rPr>
    </w:lvl>
    <w:lvl w:ilvl="7" w:tplc="08090003">
      <w:start w:val="1"/>
      <w:numFmt w:val="bullet"/>
      <w:lvlText w:val="o"/>
      <w:lvlJc w:val="left"/>
      <w:pPr>
        <w:tabs>
          <w:tab w:val="num" w:pos="5040"/>
        </w:tabs>
        <w:ind w:left="5040" w:hanging="360"/>
      </w:pPr>
      <w:rPr>
        <w:rFonts w:ascii="Courier New" w:hAnsi="Courier New" w:cs="Courier New" w:hint="default"/>
      </w:rPr>
    </w:lvl>
    <w:lvl w:ilvl="8" w:tplc="08090005">
      <w:start w:val="1"/>
      <w:numFmt w:val="bullet"/>
      <w:lvlText w:val=""/>
      <w:lvlJc w:val="left"/>
      <w:pPr>
        <w:tabs>
          <w:tab w:val="num" w:pos="5760"/>
        </w:tabs>
        <w:ind w:left="5760" w:hanging="360"/>
      </w:pPr>
      <w:rPr>
        <w:rFonts w:ascii="Wingdings" w:hAnsi="Wingdings" w:hint="default"/>
      </w:rPr>
    </w:lvl>
  </w:abstractNum>
  <w:abstractNum w:abstractNumId="23" w15:restartNumberingAfterBreak="0">
    <w:nsid w:val="35280205"/>
    <w:multiLevelType w:val="multilevel"/>
    <w:tmpl w:val="4F501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5DA2AF2"/>
    <w:multiLevelType w:val="hybridMultilevel"/>
    <w:tmpl w:val="D6CAA254"/>
    <w:lvl w:ilvl="0" w:tplc="E89EBA86">
      <w:start w:val="1"/>
      <w:numFmt w:val="bullet"/>
      <w:lvlText w:val=""/>
      <w:lvlJc w:val="left"/>
      <w:pPr>
        <w:ind w:left="720" w:hanging="360"/>
      </w:pPr>
      <w:rPr>
        <w:rFonts w:ascii="Symbol" w:hAnsi="Symbol" w:hint="default"/>
        <w:b/>
        <w:i w:val="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89348F"/>
    <w:multiLevelType w:val="hybridMultilevel"/>
    <w:tmpl w:val="806ADC5E"/>
    <w:lvl w:ilvl="0" w:tplc="A226F58C">
      <w:start w:val="1"/>
      <w:numFmt w:val="bullet"/>
      <w:lvlText w:val=""/>
      <w:lvlJc w:val="left"/>
      <w:pPr>
        <w:ind w:left="720" w:hanging="360"/>
      </w:pPr>
      <w:rPr>
        <w:rFonts w:ascii="Symbol" w:hAnsi="Symbol" w:hint="default"/>
        <w:color w:val="005EB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8F09E5"/>
    <w:multiLevelType w:val="hybridMultilevel"/>
    <w:tmpl w:val="B34CD96C"/>
    <w:lvl w:ilvl="0" w:tplc="9734341E">
      <w:start w:val="1"/>
      <w:numFmt w:val="bullet"/>
      <w:lvlText w:val=""/>
      <w:lvlJc w:val="left"/>
      <w:pPr>
        <w:ind w:left="1080" w:hanging="360"/>
      </w:pPr>
      <w:rPr>
        <w:rFonts w:ascii="Symbol" w:hAnsi="Symbol" w:hint="default"/>
        <w:color w:val="005EB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9771730"/>
    <w:multiLevelType w:val="hybridMultilevel"/>
    <w:tmpl w:val="746000A8"/>
    <w:lvl w:ilvl="0" w:tplc="90822CC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6D1962"/>
    <w:multiLevelType w:val="hybridMultilevel"/>
    <w:tmpl w:val="B3C893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0EF14D7"/>
    <w:multiLevelType w:val="hybridMultilevel"/>
    <w:tmpl w:val="271011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3825AE7"/>
    <w:multiLevelType w:val="hybridMultilevel"/>
    <w:tmpl w:val="D17AB1F8"/>
    <w:lvl w:ilvl="0" w:tplc="26E0BCD2">
      <w:start w:val="1"/>
      <w:numFmt w:val="bullet"/>
      <w:lvlText w:val=""/>
      <w:lvlJc w:val="left"/>
      <w:pPr>
        <w:ind w:left="765" w:hanging="360"/>
      </w:pPr>
      <w:rPr>
        <w:rFonts w:ascii="Symbol" w:hAnsi="Symbol" w:hint="default"/>
        <w:color w:val="0070C0"/>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1" w15:restartNumberingAfterBreak="0">
    <w:nsid w:val="53CC1102"/>
    <w:multiLevelType w:val="hybridMultilevel"/>
    <w:tmpl w:val="4C0CB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7105DD"/>
    <w:multiLevelType w:val="hybridMultilevel"/>
    <w:tmpl w:val="1F543276"/>
    <w:lvl w:ilvl="0" w:tplc="08090001">
      <w:start w:val="1"/>
      <w:numFmt w:val="bullet"/>
      <w:lvlText w:val=""/>
      <w:lvlJc w:val="left"/>
      <w:pPr>
        <w:ind w:left="1256" w:hanging="360"/>
      </w:pPr>
      <w:rPr>
        <w:rFonts w:ascii="Symbol" w:hAnsi="Symbol" w:hint="default"/>
      </w:rPr>
    </w:lvl>
    <w:lvl w:ilvl="1" w:tplc="08090003" w:tentative="1">
      <w:start w:val="1"/>
      <w:numFmt w:val="bullet"/>
      <w:lvlText w:val="o"/>
      <w:lvlJc w:val="left"/>
      <w:pPr>
        <w:ind w:left="1976" w:hanging="360"/>
      </w:pPr>
      <w:rPr>
        <w:rFonts w:ascii="Courier New" w:hAnsi="Courier New" w:cs="Courier New" w:hint="default"/>
      </w:rPr>
    </w:lvl>
    <w:lvl w:ilvl="2" w:tplc="08090005" w:tentative="1">
      <w:start w:val="1"/>
      <w:numFmt w:val="bullet"/>
      <w:lvlText w:val=""/>
      <w:lvlJc w:val="left"/>
      <w:pPr>
        <w:ind w:left="2696" w:hanging="360"/>
      </w:pPr>
      <w:rPr>
        <w:rFonts w:ascii="Wingdings" w:hAnsi="Wingdings" w:hint="default"/>
      </w:rPr>
    </w:lvl>
    <w:lvl w:ilvl="3" w:tplc="08090001" w:tentative="1">
      <w:start w:val="1"/>
      <w:numFmt w:val="bullet"/>
      <w:lvlText w:val=""/>
      <w:lvlJc w:val="left"/>
      <w:pPr>
        <w:ind w:left="3416" w:hanging="360"/>
      </w:pPr>
      <w:rPr>
        <w:rFonts w:ascii="Symbol" w:hAnsi="Symbol" w:hint="default"/>
      </w:rPr>
    </w:lvl>
    <w:lvl w:ilvl="4" w:tplc="08090003" w:tentative="1">
      <w:start w:val="1"/>
      <w:numFmt w:val="bullet"/>
      <w:lvlText w:val="o"/>
      <w:lvlJc w:val="left"/>
      <w:pPr>
        <w:ind w:left="4136" w:hanging="360"/>
      </w:pPr>
      <w:rPr>
        <w:rFonts w:ascii="Courier New" w:hAnsi="Courier New" w:cs="Courier New" w:hint="default"/>
      </w:rPr>
    </w:lvl>
    <w:lvl w:ilvl="5" w:tplc="08090005" w:tentative="1">
      <w:start w:val="1"/>
      <w:numFmt w:val="bullet"/>
      <w:lvlText w:val=""/>
      <w:lvlJc w:val="left"/>
      <w:pPr>
        <w:ind w:left="4856" w:hanging="360"/>
      </w:pPr>
      <w:rPr>
        <w:rFonts w:ascii="Wingdings" w:hAnsi="Wingdings" w:hint="default"/>
      </w:rPr>
    </w:lvl>
    <w:lvl w:ilvl="6" w:tplc="08090001" w:tentative="1">
      <w:start w:val="1"/>
      <w:numFmt w:val="bullet"/>
      <w:lvlText w:val=""/>
      <w:lvlJc w:val="left"/>
      <w:pPr>
        <w:ind w:left="5576" w:hanging="360"/>
      </w:pPr>
      <w:rPr>
        <w:rFonts w:ascii="Symbol" w:hAnsi="Symbol" w:hint="default"/>
      </w:rPr>
    </w:lvl>
    <w:lvl w:ilvl="7" w:tplc="08090003" w:tentative="1">
      <w:start w:val="1"/>
      <w:numFmt w:val="bullet"/>
      <w:lvlText w:val="o"/>
      <w:lvlJc w:val="left"/>
      <w:pPr>
        <w:ind w:left="6296" w:hanging="360"/>
      </w:pPr>
      <w:rPr>
        <w:rFonts w:ascii="Courier New" w:hAnsi="Courier New" w:cs="Courier New" w:hint="default"/>
      </w:rPr>
    </w:lvl>
    <w:lvl w:ilvl="8" w:tplc="08090005" w:tentative="1">
      <w:start w:val="1"/>
      <w:numFmt w:val="bullet"/>
      <w:lvlText w:val=""/>
      <w:lvlJc w:val="left"/>
      <w:pPr>
        <w:ind w:left="7016" w:hanging="360"/>
      </w:pPr>
      <w:rPr>
        <w:rFonts w:ascii="Wingdings" w:hAnsi="Wingdings" w:hint="default"/>
      </w:rPr>
    </w:lvl>
  </w:abstractNum>
  <w:abstractNum w:abstractNumId="33" w15:restartNumberingAfterBreak="0">
    <w:nsid w:val="577E328A"/>
    <w:multiLevelType w:val="hybridMultilevel"/>
    <w:tmpl w:val="9C2A7FC6"/>
    <w:lvl w:ilvl="0" w:tplc="70FC15CC">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2B48BC"/>
    <w:multiLevelType w:val="hybridMultilevel"/>
    <w:tmpl w:val="3C32B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410990"/>
    <w:multiLevelType w:val="hybridMultilevel"/>
    <w:tmpl w:val="F4F8656C"/>
    <w:lvl w:ilvl="0" w:tplc="E89EBA86">
      <w:start w:val="1"/>
      <w:numFmt w:val="bullet"/>
      <w:lvlText w:val=""/>
      <w:lvlJc w:val="left"/>
      <w:pPr>
        <w:ind w:left="720" w:hanging="360"/>
      </w:pPr>
      <w:rPr>
        <w:rFonts w:ascii="Symbol" w:hAnsi="Symbol" w:hint="default"/>
        <w:b/>
        <w:i w:val="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7033C8"/>
    <w:multiLevelType w:val="hybridMultilevel"/>
    <w:tmpl w:val="9026A55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7" w15:restartNumberingAfterBreak="0">
    <w:nsid w:val="642B2131"/>
    <w:multiLevelType w:val="hybridMultilevel"/>
    <w:tmpl w:val="4DDC7EF8"/>
    <w:lvl w:ilvl="0" w:tplc="901CEE0A">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98489B"/>
    <w:multiLevelType w:val="hybridMultilevel"/>
    <w:tmpl w:val="73423386"/>
    <w:lvl w:ilvl="0" w:tplc="C750BB3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3A03D8"/>
    <w:multiLevelType w:val="hybridMultilevel"/>
    <w:tmpl w:val="56323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6B632DF"/>
    <w:multiLevelType w:val="hybridMultilevel"/>
    <w:tmpl w:val="84C26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70C0A4A"/>
    <w:multiLevelType w:val="hybridMultilevel"/>
    <w:tmpl w:val="BB6E224E"/>
    <w:lvl w:ilvl="0" w:tplc="E89EBA86">
      <w:start w:val="1"/>
      <w:numFmt w:val="bullet"/>
      <w:lvlText w:val=""/>
      <w:lvlJc w:val="left"/>
      <w:pPr>
        <w:ind w:left="915" w:hanging="360"/>
      </w:pPr>
      <w:rPr>
        <w:rFonts w:ascii="Symbol" w:hAnsi="Symbol" w:hint="default"/>
        <w:b/>
        <w:i w:val="0"/>
        <w:sz w:val="20"/>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42" w15:restartNumberingAfterBreak="0">
    <w:nsid w:val="699C5921"/>
    <w:multiLevelType w:val="hybridMultilevel"/>
    <w:tmpl w:val="3F2CFB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3" w15:restartNumberingAfterBreak="0">
    <w:nsid w:val="6BF56A8E"/>
    <w:multiLevelType w:val="hybridMultilevel"/>
    <w:tmpl w:val="0BC62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F5E2E06"/>
    <w:multiLevelType w:val="hybridMultilevel"/>
    <w:tmpl w:val="EDEE7FBA"/>
    <w:lvl w:ilvl="0" w:tplc="90EA090C">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08738F9"/>
    <w:multiLevelType w:val="hybridMultilevel"/>
    <w:tmpl w:val="BE184A96"/>
    <w:lvl w:ilvl="0" w:tplc="08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2DD6A91"/>
    <w:multiLevelType w:val="hybridMultilevel"/>
    <w:tmpl w:val="25CEB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42E67A7"/>
    <w:multiLevelType w:val="hybridMultilevel"/>
    <w:tmpl w:val="6B700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C3A147D"/>
    <w:multiLevelType w:val="hybridMultilevel"/>
    <w:tmpl w:val="811C87D4"/>
    <w:lvl w:ilvl="0" w:tplc="E89EBA86">
      <w:start w:val="1"/>
      <w:numFmt w:val="bullet"/>
      <w:lvlText w:val=""/>
      <w:lvlJc w:val="left"/>
      <w:pPr>
        <w:ind w:left="720" w:hanging="360"/>
      </w:pPr>
      <w:rPr>
        <w:rFonts w:ascii="Symbol" w:hAnsi="Symbol" w:hint="default"/>
        <w:b/>
        <w:i w:val="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D4F0BCC"/>
    <w:multiLevelType w:val="hybridMultilevel"/>
    <w:tmpl w:val="743815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DEF09D8"/>
    <w:multiLevelType w:val="hybridMultilevel"/>
    <w:tmpl w:val="C9345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E3341DA"/>
    <w:multiLevelType w:val="hybridMultilevel"/>
    <w:tmpl w:val="DBD28004"/>
    <w:lvl w:ilvl="0" w:tplc="B066DA48">
      <w:start w:val="1"/>
      <w:numFmt w:val="bullet"/>
      <w:lvlText w:val=""/>
      <w:lvlJc w:val="left"/>
      <w:pPr>
        <w:ind w:left="720" w:hanging="360"/>
      </w:pPr>
      <w:rPr>
        <w:rFonts w:ascii="Symbol" w:hAnsi="Symbol" w:hint="default"/>
        <w:color w:val="005EB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1456918">
    <w:abstractNumId w:val="35"/>
  </w:num>
  <w:num w:numId="2" w16cid:durableId="137917896">
    <w:abstractNumId w:val="19"/>
  </w:num>
  <w:num w:numId="3" w16cid:durableId="1459494530">
    <w:abstractNumId w:val="42"/>
  </w:num>
  <w:num w:numId="4" w16cid:durableId="1435513992">
    <w:abstractNumId w:val="22"/>
  </w:num>
  <w:num w:numId="5" w16cid:durableId="966396526">
    <w:abstractNumId w:val="2"/>
  </w:num>
  <w:num w:numId="6" w16cid:durableId="1315447231">
    <w:abstractNumId w:val="6"/>
  </w:num>
  <w:num w:numId="7" w16cid:durableId="2070110917">
    <w:abstractNumId w:val="45"/>
  </w:num>
  <w:num w:numId="8" w16cid:durableId="372272419">
    <w:abstractNumId w:val="22"/>
  </w:num>
  <w:num w:numId="9" w16cid:durableId="960653861">
    <w:abstractNumId w:val="21"/>
  </w:num>
  <w:num w:numId="10" w16cid:durableId="925501184">
    <w:abstractNumId w:val="32"/>
  </w:num>
  <w:num w:numId="11" w16cid:durableId="756824699">
    <w:abstractNumId w:val="1"/>
  </w:num>
  <w:num w:numId="12" w16cid:durableId="151067955">
    <w:abstractNumId w:val="38"/>
  </w:num>
  <w:num w:numId="13" w16cid:durableId="622003109">
    <w:abstractNumId w:val="34"/>
  </w:num>
  <w:num w:numId="14" w16cid:durableId="722102072">
    <w:abstractNumId w:val="50"/>
  </w:num>
  <w:num w:numId="15" w16cid:durableId="1522085389">
    <w:abstractNumId w:val="3"/>
  </w:num>
  <w:num w:numId="16" w16cid:durableId="1749418739">
    <w:abstractNumId w:val="0"/>
  </w:num>
  <w:num w:numId="17" w16cid:durableId="151987686">
    <w:abstractNumId w:val="47"/>
  </w:num>
  <w:num w:numId="18" w16cid:durableId="1938637242">
    <w:abstractNumId w:val="14"/>
  </w:num>
  <w:num w:numId="19" w16cid:durableId="845050680">
    <w:abstractNumId w:val="27"/>
  </w:num>
  <w:num w:numId="20" w16cid:durableId="334843898">
    <w:abstractNumId w:val="43"/>
  </w:num>
  <w:num w:numId="21" w16cid:durableId="898248945">
    <w:abstractNumId w:val="16"/>
  </w:num>
  <w:num w:numId="22" w16cid:durableId="1651442991">
    <w:abstractNumId w:val="4"/>
  </w:num>
  <w:num w:numId="23" w16cid:durableId="853568448">
    <w:abstractNumId w:val="7"/>
  </w:num>
  <w:num w:numId="24" w16cid:durableId="741027535">
    <w:abstractNumId w:val="23"/>
  </w:num>
  <w:num w:numId="25" w16cid:durableId="1181969968">
    <w:abstractNumId w:val="17"/>
  </w:num>
  <w:num w:numId="26" w16cid:durableId="1653557658">
    <w:abstractNumId w:val="9"/>
  </w:num>
  <w:num w:numId="27" w16cid:durableId="1945648354">
    <w:abstractNumId w:val="10"/>
  </w:num>
  <w:num w:numId="28" w16cid:durableId="882864902">
    <w:abstractNumId w:val="13"/>
  </w:num>
  <w:num w:numId="29" w16cid:durableId="2054497993">
    <w:abstractNumId w:val="20"/>
  </w:num>
  <w:num w:numId="30" w16cid:durableId="223225268">
    <w:abstractNumId w:val="40"/>
  </w:num>
  <w:num w:numId="31" w16cid:durableId="1591964853">
    <w:abstractNumId w:val="44"/>
  </w:num>
  <w:num w:numId="32" w16cid:durableId="1208491553">
    <w:abstractNumId w:val="37"/>
  </w:num>
  <w:num w:numId="33" w16cid:durableId="1886866985">
    <w:abstractNumId w:val="30"/>
  </w:num>
  <w:num w:numId="34" w16cid:durableId="1156343290">
    <w:abstractNumId w:val="33"/>
  </w:num>
  <w:num w:numId="35" w16cid:durableId="496461642">
    <w:abstractNumId w:val="26"/>
  </w:num>
  <w:num w:numId="36" w16cid:durableId="17198099">
    <w:abstractNumId w:val="18"/>
  </w:num>
  <w:num w:numId="37" w16cid:durableId="1913420224">
    <w:abstractNumId w:val="51"/>
  </w:num>
  <w:num w:numId="38" w16cid:durableId="1530990442">
    <w:abstractNumId w:val="25"/>
  </w:num>
  <w:num w:numId="39" w16cid:durableId="878053303">
    <w:abstractNumId w:val="11"/>
  </w:num>
  <w:num w:numId="40" w16cid:durableId="286930375">
    <w:abstractNumId w:val="36"/>
  </w:num>
  <w:num w:numId="41" w16cid:durableId="55012492">
    <w:abstractNumId w:val="8"/>
  </w:num>
  <w:num w:numId="42" w16cid:durableId="1651009949">
    <w:abstractNumId w:val="41"/>
  </w:num>
  <w:num w:numId="43" w16cid:durableId="2059088632">
    <w:abstractNumId w:val="15"/>
  </w:num>
  <w:num w:numId="44" w16cid:durableId="1423450227">
    <w:abstractNumId w:val="5"/>
  </w:num>
  <w:num w:numId="45" w16cid:durableId="103773625">
    <w:abstractNumId w:val="48"/>
  </w:num>
  <w:num w:numId="46" w16cid:durableId="1094663936">
    <w:abstractNumId w:val="24"/>
  </w:num>
  <w:num w:numId="47" w16cid:durableId="2042315480">
    <w:abstractNumId w:val="29"/>
  </w:num>
  <w:num w:numId="48" w16cid:durableId="1466198241">
    <w:abstractNumId w:val="31"/>
  </w:num>
  <w:num w:numId="49" w16cid:durableId="1404059939">
    <w:abstractNumId w:val="12"/>
  </w:num>
  <w:num w:numId="50" w16cid:durableId="134419159">
    <w:abstractNumId w:val="49"/>
  </w:num>
  <w:num w:numId="51" w16cid:durableId="332681520">
    <w:abstractNumId w:val="28"/>
  </w:num>
  <w:num w:numId="52" w16cid:durableId="1672223681">
    <w:abstractNumId w:val="39"/>
  </w:num>
  <w:num w:numId="53" w16cid:durableId="1811366875">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FAA"/>
    <w:rsid w:val="00000451"/>
    <w:rsid w:val="00003C8D"/>
    <w:rsid w:val="00004A2B"/>
    <w:rsid w:val="0000546E"/>
    <w:rsid w:val="0000557E"/>
    <w:rsid w:val="000107A4"/>
    <w:rsid w:val="00010967"/>
    <w:rsid w:val="000138BE"/>
    <w:rsid w:val="00014299"/>
    <w:rsid w:val="00015061"/>
    <w:rsid w:val="0001536F"/>
    <w:rsid w:val="000155BD"/>
    <w:rsid w:val="0001646A"/>
    <w:rsid w:val="00017068"/>
    <w:rsid w:val="00022748"/>
    <w:rsid w:val="00023D91"/>
    <w:rsid w:val="0002541B"/>
    <w:rsid w:val="0002790E"/>
    <w:rsid w:val="00030CFC"/>
    <w:rsid w:val="000320C8"/>
    <w:rsid w:val="00034691"/>
    <w:rsid w:val="00034E4F"/>
    <w:rsid w:val="000363CE"/>
    <w:rsid w:val="00037C73"/>
    <w:rsid w:val="00037FE5"/>
    <w:rsid w:val="00040046"/>
    <w:rsid w:val="00040F2B"/>
    <w:rsid w:val="000410DF"/>
    <w:rsid w:val="00041F7F"/>
    <w:rsid w:val="00043B59"/>
    <w:rsid w:val="00046220"/>
    <w:rsid w:val="00047A3D"/>
    <w:rsid w:val="00052200"/>
    <w:rsid w:val="000525DB"/>
    <w:rsid w:val="00052F36"/>
    <w:rsid w:val="00055974"/>
    <w:rsid w:val="000562D2"/>
    <w:rsid w:val="00056795"/>
    <w:rsid w:val="00061938"/>
    <w:rsid w:val="000661C5"/>
    <w:rsid w:val="00071C9F"/>
    <w:rsid w:val="000722C6"/>
    <w:rsid w:val="00072AB3"/>
    <w:rsid w:val="00073126"/>
    <w:rsid w:val="00073D31"/>
    <w:rsid w:val="0007746E"/>
    <w:rsid w:val="00080B09"/>
    <w:rsid w:val="00086770"/>
    <w:rsid w:val="00086D1E"/>
    <w:rsid w:val="00090C5C"/>
    <w:rsid w:val="00093756"/>
    <w:rsid w:val="00093BDB"/>
    <w:rsid w:val="00094A8A"/>
    <w:rsid w:val="00094EF7"/>
    <w:rsid w:val="000A16A6"/>
    <w:rsid w:val="000A42CB"/>
    <w:rsid w:val="000A4E08"/>
    <w:rsid w:val="000A5254"/>
    <w:rsid w:val="000B0095"/>
    <w:rsid w:val="000B0F6D"/>
    <w:rsid w:val="000B3B83"/>
    <w:rsid w:val="000B44A9"/>
    <w:rsid w:val="000B6D8A"/>
    <w:rsid w:val="000B71AB"/>
    <w:rsid w:val="000B7989"/>
    <w:rsid w:val="000C06B2"/>
    <w:rsid w:val="000C13A6"/>
    <w:rsid w:val="000C2135"/>
    <w:rsid w:val="000C2A80"/>
    <w:rsid w:val="000C475D"/>
    <w:rsid w:val="000C4F5D"/>
    <w:rsid w:val="000C50E0"/>
    <w:rsid w:val="000C5BDA"/>
    <w:rsid w:val="000D0592"/>
    <w:rsid w:val="000D10DA"/>
    <w:rsid w:val="000D3FDA"/>
    <w:rsid w:val="000D56E3"/>
    <w:rsid w:val="000D67C7"/>
    <w:rsid w:val="000D784C"/>
    <w:rsid w:val="000E0715"/>
    <w:rsid w:val="000E0A3B"/>
    <w:rsid w:val="000E11BC"/>
    <w:rsid w:val="000E1851"/>
    <w:rsid w:val="000E28D8"/>
    <w:rsid w:val="000E31F1"/>
    <w:rsid w:val="000E42B9"/>
    <w:rsid w:val="000E4490"/>
    <w:rsid w:val="000E5A62"/>
    <w:rsid w:val="000E61B2"/>
    <w:rsid w:val="000E66C3"/>
    <w:rsid w:val="000F19AC"/>
    <w:rsid w:val="000F2768"/>
    <w:rsid w:val="000F36D1"/>
    <w:rsid w:val="000F4364"/>
    <w:rsid w:val="000F755C"/>
    <w:rsid w:val="000F7B1A"/>
    <w:rsid w:val="001004E1"/>
    <w:rsid w:val="001009A1"/>
    <w:rsid w:val="00101C6C"/>
    <w:rsid w:val="001048F5"/>
    <w:rsid w:val="00104DD3"/>
    <w:rsid w:val="00111224"/>
    <w:rsid w:val="001115DE"/>
    <w:rsid w:val="001148CE"/>
    <w:rsid w:val="00114E2F"/>
    <w:rsid w:val="00114E59"/>
    <w:rsid w:val="00115A17"/>
    <w:rsid w:val="00115D20"/>
    <w:rsid w:val="00116B91"/>
    <w:rsid w:val="00116F69"/>
    <w:rsid w:val="00117CDA"/>
    <w:rsid w:val="001205E3"/>
    <w:rsid w:val="00122BE2"/>
    <w:rsid w:val="001236B4"/>
    <w:rsid w:val="00124221"/>
    <w:rsid w:val="00125B47"/>
    <w:rsid w:val="001260FC"/>
    <w:rsid w:val="00126231"/>
    <w:rsid w:val="00127D7B"/>
    <w:rsid w:val="0013037C"/>
    <w:rsid w:val="001307A4"/>
    <w:rsid w:val="001334D9"/>
    <w:rsid w:val="001345BE"/>
    <w:rsid w:val="00134C4F"/>
    <w:rsid w:val="00140CD3"/>
    <w:rsid w:val="00141829"/>
    <w:rsid w:val="001430A6"/>
    <w:rsid w:val="00147246"/>
    <w:rsid w:val="00150533"/>
    <w:rsid w:val="0015085F"/>
    <w:rsid w:val="0015131B"/>
    <w:rsid w:val="00151528"/>
    <w:rsid w:val="00151A3C"/>
    <w:rsid w:val="00152391"/>
    <w:rsid w:val="00152804"/>
    <w:rsid w:val="0015328C"/>
    <w:rsid w:val="0015348D"/>
    <w:rsid w:val="0015453A"/>
    <w:rsid w:val="00154745"/>
    <w:rsid w:val="001552D7"/>
    <w:rsid w:val="00156B3D"/>
    <w:rsid w:val="00160B0F"/>
    <w:rsid w:val="00160C81"/>
    <w:rsid w:val="0016121D"/>
    <w:rsid w:val="0016154F"/>
    <w:rsid w:val="001622DD"/>
    <w:rsid w:val="00162D64"/>
    <w:rsid w:val="00163AEC"/>
    <w:rsid w:val="00163F35"/>
    <w:rsid w:val="00163F42"/>
    <w:rsid w:val="0016564D"/>
    <w:rsid w:val="001668BC"/>
    <w:rsid w:val="00166A89"/>
    <w:rsid w:val="0016763F"/>
    <w:rsid w:val="00170BD2"/>
    <w:rsid w:val="0017199B"/>
    <w:rsid w:val="00171E5F"/>
    <w:rsid w:val="0017262F"/>
    <w:rsid w:val="00173691"/>
    <w:rsid w:val="001769F1"/>
    <w:rsid w:val="0018027F"/>
    <w:rsid w:val="00181092"/>
    <w:rsid w:val="0018110D"/>
    <w:rsid w:val="00181BF5"/>
    <w:rsid w:val="00185A94"/>
    <w:rsid w:val="00190EC9"/>
    <w:rsid w:val="001939FE"/>
    <w:rsid w:val="00193CE1"/>
    <w:rsid w:val="00194025"/>
    <w:rsid w:val="00196320"/>
    <w:rsid w:val="00196367"/>
    <w:rsid w:val="00196F24"/>
    <w:rsid w:val="001A19D1"/>
    <w:rsid w:val="001A19E3"/>
    <w:rsid w:val="001A2F10"/>
    <w:rsid w:val="001A59DF"/>
    <w:rsid w:val="001A6705"/>
    <w:rsid w:val="001A721F"/>
    <w:rsid w:val="001B0195"/>
    <w:rsid w:val="001B049A"/>
    <w:rsid w:val="001B1199"/>
    <w:rsid w:val="001B20A4"/>
    <w:rsid w:val="001B27A2"/>
    <w:rsid w:val="001C0DDE"/>
    <w:rsid w:val="001C1427"/>
    <w:rsid w:val="001C3FD2"/>
    <w:rsid w:val="001C4EE6"/>
    <w:rsid w:val="001C5E04"/>
    <w:rsid w:val="001C7FAE"/>
    <w:rsid w:val="001D3A15"/>
    <w:rsid w:val="001D74C3"/>
    <w:rsid w:val="001E2392"/>
    <w:rsid w:val="001E3D80"/>
    <w:rsid w:val="001E6CF3"/>
    <w:rsid w:val="001F0405"/>
    <w:rsid w:val="001F04B2"/>
    <w:rsid w:val="001F1D8C"/>
    <w:rsid w:val="001F584C"/>
    <w:rsid w:val="001F5A6B"/>
    <w:rsid w:val="001F6C95"/>
    <w:rsid w:val="00202F45"/>
    <w:rsid w:val="00204ACC"/>
    <w:rsid w:val="00211341"/>
    <w:rsid w:val="00211B9E"/>
    <w:rsid w:val="00214E3D"/>
    <w:rsid w:val="00222016"/>
    <w:rsid w:val="00223882"/>
    <w:rsid w:val="00223F1E"/>
    <w:rsid w:val="00225135"/>
    <w:rsid w:val="002257E8"/>
    <w:rsid w:val="002276E6"/>
    <w:rsid w:val="00227BB1"/>
    <w:rsid w:val="00227BD9"/>
    <w:rsid w:val="00232B1A"/>
    <w:rsid w:val="00233B24"/>
    <w:rsid w:val="00234151"/>
    <w:rsid w:val="00240EDC"/>
    <w:rsid w:val="0024122B"/>
    <w:rsid w:val="00241CCF"/>
    <w:rsid w:val="00243601"/>
    <w:rsid w:val="00244AF9"/>
    <w:rsid w:val="00245324"/>
    <w:rsid w:val="002517A4"/>
    <w:rsid w:val="002529C1"/>
    <w:rsid w:val="00253C9E"/>
    <w:rsid w:val="00254791"/>
    <w:rsid w:val="0025543F"/>
    <w:rsid w:val="00257929"/>
    <w:rsid w:val="00261014"/>
    <w:rsid w:val="002610FF"/>
    <w:rsid w:val="002644C1"/>
    <w:rsid w:val="0026490B"/>
    <w:rsid w:val="00265604"/>
    <w:rsid w:val="00266116"/>
    <w:rsid w:val="002673CA"/>
    <w:rsid w:val="002705C9"/>
    <w:rsid w:val="00277D9B"/>
    <w:rsid w:val="00280DBB"/>
    <w:rsid w:val="00280E87"/>
    <w:rsid w:val="002844B6"/>
    <w:rsid w:val="002844D0"/>
    <w:rsid w:val="00284C4B"/>
    <w:rsid w:val="00285562"/>
    <w:rsid w:val="00286AAF"/>
    <w:rsid w:val="00290C6F"/>
    <w:rsid w:val="00290E3D"/>
    <w:rsid w:val="002913E5"/>
    <w:rsid w:val="00291FFE"/>
    <w:rsid w:val="00292770"/>
    <w:rsid w:val="00292B32"/>
    <w:rsid w:val="0029495A"/>
    <w:rsid w:val="0029595C"/>
    <w:rsid w:val="00297DF8"/>
    <w:rsid w:val="002A09AF"/>
    <w:rsid w:val="002A1922"/>
    <w:rsid w:val="002A2264"/>
    <w:rsid w:val="002A23C5"/>
    <w:rsid w:val="002A365B"/>
    <w:rsid w:val="002A4D17"/>
    <w:rsid w:val="002A6992"/>
    <w:rsid w:val="002A6A8E"/>
    <w:rsid w:val="002B1A7A"/>
    <w:rsid w:val="002B1C64"/>
    <w:rsid w:val="002B4F36"/>
    <w:rsid w:val="002B69A9"/>
    <w:rsid w:val="002B6AD7"/>
    <w:rsid w:val="002B6FAD"/>
    <w:rsid w:val="002B7893"/>
    <w:rsid w:val="002C4AED"/>
    <w:rsid w:val="002C522C"/>
    <w:rsid w:val="002D20FD"/>
    <w:rsid w:val="002D236D"/>
    <w:rsid w:val="002D3499"/>
    <w:rsid w:val="002D596A"/>
    <w:rsid w:val="002D7494"/>
    <w:rsid w:val="002E399F"/>
    <w:rsid w:val="002E460B"/>
    <w:rsid w:val="002E5401"/>
    <w:rsid w:val="002E65A5"/>
    <w:rsid w:val="002E70A9"/>
    <w:rsid w:val="002E7305"/>
    <w:rsid w:val="002F07F7"/>
    <w:rsid w:val="002F0A56"/>
    <w:rsid w:val="002F0B82"/>
    <w:rsid w:val="002F150A"/>
    <w:rsid w:val="002F2657"/>
    <w:rsid w:val="002F314A"/>
    <w:rsid w:val="002F3780"/>
    <w:rsid w:val="002F52C5"/>
    <w:rsid w:val="002F5636"/>
    <w:rsid w:val="002F658E"/>
    <w:rsid w:val="00300BC0"/>
    <w:rsid w:val="003037CF"/>
    <w:rsid w:val="00305779"/>
    <w:rsid w:val="0030779E"/>
    <w:rsid w:val="0031087C"/>
    <w:rsid w:val="00311C93"/>
    <w:rsid w:val="00315FBF"/>
    <w:rsid w:val="00316920"/>
    <w:rsid w:val="0032313F"/>
    <w:rsid w:val="00323A66"/>
    <w:rsid w:val="00323DE2"/>
    <w:rsid w:val="0032403E"/>
    <w:rsid w:val="00325514"/>
    <w:rsid w:val="00326E8F"/>
    <w:rsid w:val="00330CCA"/>
    <w:rsid w:val="0033431B"/>
    <w:rsid w:val="00337852"/>
    <w:rsid w:val="00340881"/>
    <w:rsid w:val="003423A9"/>
    <w:rsid w:val="00343199"/>
    <w:rsid w:val="0034541A"/>
    <w:rsid w:val="00345EEE"/>
    <w:rsid w:val="00346B09"/>
    <w:rsid w:val="003506F5"/>
    <w:rsid w:val="00352576"/>
    <w:rsid w:val="0035359C"/>
    <w:rsid w:val="00354845"/>
    <w:rsid w:val="00354F32"/>
    <w:rsid w:val="00356D1E"/>
    <w:rsid w:val="00357634"/>
    <w:rsid w:val="00363364"/>
    <w:rsid w:val="0036433C"/>
    <w:rsid w:val="003644C3"/>
    <w:rsid w:val="00364C92"/>
    <w:rsid w:val="00364D63"/>
    <w:rsid w:val="00366281"/>
    <w:rsid w:val="00366490"/>
    <w:rsid w:val="00366F10"/>
    <w:rsid w:val="003672E3"/>
    <w:rsid w:val="00367AA6"/>
    <w:rsid w:val="00367BA4"/>
    <w:rsid w:val="00372413"/>
    <w:rsid w:val="003729B0"/>
    <w:rsid w:val="00373A7B"/>
    <w:rsid w:val="00373EB5"/>
    <w:rsid w:val="003771B9"/>
    <w:rsid w:val="00381190"/>
    <w:rsid w:val="00381365"/>
    <w:rsid w:val="00381C19"/>
    <w:rsid w:val="003822D0"/>
    <w:rsid w:val="00383D4A"/>
    <w:rsid w:val="00385938"/>
    <w:rsid w:val="00390CD0"/>
    <w:rsid w:val="00392F30"/>
    <w:rsid w:val="00394B0A"/>
    <w:rsid w:val="003952A4"/>
    <w:rsid w:val="00396A28"/>
    <w:rsid w:val="00396D30"/>
    <w:rsid w:val="00397D23"/>
    <w:rsid w:val="003A0B5C"/>
    <w:rsid w:val="003A1172"/>
    <w:rsid w:val="003A135E"/>
    <w:rsid w:val="003A1AB7"/>
    <w:rsid w:val="003A1D0F"/>
    <w:rsid w:val="003A248E"/>
    <w:rsid w:val="003A48BA"/>
    <w:rsid w:val="003A5EE0"/>
    <w:rsid w:val="003A6F26"/>
    <w:rsid w:val="003B28BE"/>
    <w:rsid w:val="003B3BFC"/>
    <w:rsid w:val="003B57A3"/>
    <w:rsid w:val="003B77EA"/>
    <w:rsid w:val="003C0A3E"/>
    <w:rsid w:val="003C1441"/>
    <w:rsid w:val="003C1E29"/>
    <w:rsid w:val="003C2750"/>
    <w:rsid w:val="003C2D45"/>
    <w:rsid w:val="003C3DEF"/>
    <w:rsid w:val="003C3FF9"/>
    <w:rsid w:val="003C5368"/>
    <w:rsid w:val="003C61C8"/>
    <w:rsid w:val="003D05E9"/>
    <w:rsid w:val="003D250C"/>
    <w:rsid w:val="003D3BE9"/>
    <w:rsid w:val="003D46CB"/>
    <w:rsid w:val="003D4720"/>
    <w:rsid w:val="003D4917"/>
    <w:rsid w:val="003D5AC2"/>
    <w:rsid w:val="003D5F83"/>
    <w:rsid w:val="003D67A9"/>
    <w:rsid w:val="003D6CE7"/>
    <w:rsid w:val="003E2D49"/>
    <w:rsid w:val="003E2F64"/>
    <w:rsid w:val="003E33AE"/>
    <w:rsid w:val="003E361B"/>
    <w:rsid w:val="003E55EB"/>
    <w:rsid w:val="003E5B40"/>
    <w:rsid w:val="003E75B2"/>
    <w:rsid w:val="003F0043"/>
    <w:rsid w:val="003F01F0"/>
    <w:rsid w:val="003F07E1"/>
    <w:rsid w:val="003F0DAA"/>
    <w:rsid w:val="003F0E01"/>
    <w:rsid w:val="003F1947"/>
    <w:rsid w:val="003F33EA"/>
    <w:rsid w:val="003F3AF2"/>
    <w:rsid w:val="003F4F6D"/>
    <w:rsid w:val="003F5085"/>
    <w:rsid w:val="003F66F1"/>
    <w:rsid w:val="003F76CD"/>
    <w:rsid w:val="003F7CCC"/>
    <w:rsid w:val="0040318A"/>
    <w:rsid w:val="00403A10"/>
    <w:rsid w:val="00404A03"/>
    <w:rsid w:val="00405E7B"/>
    <w:rsid w:val="00410E84"/>
    <w:rsid w:val="004123DC"/>
    <w:rsid w:val="004124A7"/>
    <w:rsid w:val="00415152"/>
    <w:rsid w:val="0041521E"/>
    <w:rsid w:val="00415D8A"/>
    <w:rsid w:val="0042071A"/>
    <w:rsid w:val="00420819"/>
    <w:rsid w:val="0042297D"/>
    <w:rsid w:val="0042348D"/>
    <w:rsid w:val="00430206"/>
    <w:rsid w:val="0043490A"/>
    <w:rsid w:val="004407DB"/>
    <w:rsid w:val="00441BA3"/>
    <w:rsid w:val="00442970"/>
    <w:rsid w:val="00442FEC"/>
    <w:rsid w:val="004430AF"/>
    <w:rsid w:val="004443C8"/>
    <w:rsid w:val="004464A5"/>
    <w:rsid w:val="00446F8B"/>
    <w:rsid w:val="00447CB6"/>
    <w:rsid w:val="0045024A"/>
    <w:rsid w:val="004517E5"/>
    <w:rsid w:val="00451FF8"/>
    <w:rsid w:val="00453756"/>
    <w:rsid w:val="00455BAF"/>
    <w:rsid w:val="00456FF9"/>
    <w:rsid w:val="004624B3"/>
    <w:rsid w:val="00463F1C"/>
    <w:rsid w:val="004658B7"/>
    <w:rsid w:val="00465C93"/>
    <w:rsid w:val="004663EB"/>
    <w:rsid w:val="004713C3"/>
    <w:rsid w:val="00472ED7"/>
    <w:rsid w:val="00474D36"/>
    <w:rsid w:val="00475A1C"/>
    <w:rsid w:val="004761AA"/>
    <w:rsid w:val="00480932"/>
    <w:rsid w:val="004863D3"/>
    <w:rsid w:val="0049313F"/>
    <w:rsid w:val="00493F53"/>
    <w:rsid w:val="004961A5"/>
    <w:rsid w:val="0049671A"/>
    <w:rsid w:val="00497463"/>
    <w:rsid w:val="004A04CC"/>
    <w:rsid w:val="004A3C43"/>
    <w:rsid w:val="004A419D"/>
    <w:rsid w:val="004A4C56"/>
    <w:rsid w:val="004A511B"/>
    <w:rsid w:val="004A52A0"/>
    <w:rsid w:val="004A628C"/>
    <w:rsid w:val="004A77E3"/>
    <w:rsid w:val="004A7A0A"/>
    <w:rsid w:val="004A7CBB"/>
    <w:rsid w:val="004B0225"/>
    <w:rsid w:val="004B110F"/>
    <w:rsid w:val="004B1350"/>
    <w:rsid w:val="004B2975"/>
    <w:rsid w:val="004B2A05"/>
    <w:rsid w:val="004B4119"/>
    <w:rsid w:val="004B45CC"/>
    <w:rsid w:val="004B73A2"/>
    <w:rsid w:val="004C06BE"/>
    <w:rsid w:val="004C12DE"/>
    <w:rsid w:val="004C26B2"/>
    <w:rsid w:val="004C33BE"/>
    <w:rsid w:val="004C40BA"/>
    <w:rsid w:val="004C43F1"/>
    <w:rsid w:val="004C5D44"/>
    <w:rsid w:val="004C671C"/>
    <w:rsid w:val="004D24EF"/>
    <w:rsid w:val="004D2FA1"/>
    <w:rsid w:val="004D3039"/>
    <w:rsid w:val="004D3F58"/>
    <w:rsid w:val="004D6F40"/>
    <w:rsid w:val="004E57A6"/>
    <w:rsid w:val="004E5C77"/>
    <w:rsid w:val="004E5CE0"/>
    <w:rsid w:val="004E63E4"/>
    <w:rsid w:val="004F3169"/>
    <w:rsid w:val="004F31D7"/>
    <w:rsid w:val="004F48D0"/>
    <w:rsid w:val="004F6C65"/>
    <w:rsid w:val="004F70FD"/>
    <w:rsid w:val="00500731"/>
    <w:rsid w:val="00501F98"/>
    <w:rsid w:val="00503375"/>
    <w:rsid w:val="00503EA1"/>
    <w:rsid w:val="005117F3"/>
    <w:rsid w:val="00512130"/>
    <w:rsid w:val="0051321E"/>
    <w:rsid w:val="00513B5A"/>
    <w:rsid w:val="00514AC8"/>
    <w:rsid w:val="00514B7D"/>
    <w:rsid w:val="00514D0F"/>
    <w:rsid w:val="00515961"/>
    <w:rsid w:val="00516B33"/>
    <w:rsid w:val="005179C6"/>
    <w:rsid w:val="00521237"/>
    <w:rsid w:val="00523192"/>
    <w:rsid w:val="0052656D"/>
    <w:rsid w:val="00526620"/>
    <w:rsid w:val="00530373"/>
    <w:rsid w:val="00531F57"/>
    <w:rsid w:val="00533838"/>
    <w:rsid w:val="00534245"/>
    <w:rsid w:val="00540C8A"/>
    <w:rsid w:val="0054213A"/>
    <w:rsid w:val="00543068"/>
    <w:rsid w:val="00543C84"/>
    <w:rsid w:val="00545538"/>
    <w:rsid w:val="00546D65"/>
    <w:rsid w:val="00546E6A"/>
    <w:rsid w:val="0054792D"/>
    <w:rsid w:val="00550FBB"/>
    <w:rsid w:val="00551ACC"/>
    <w:rsid w:val="00551D1B"/>
    <w:rsid w:val="00552200"/>
    <w:rsid w:val="00553246"/>
    <w:rsid w:val="00560BB0"/>
    <w:rsid w:val="00561471"/>
    <w:rsid w:val="00565325"/>
    <w:rsid w:val="0056786E"/>
    <w:rsid w:val="00567AA5"/>
    <w:rsid w:val="00570568"/>
    <w:rsid w:val="005736D0"/>
    <w:rsid w:val="00574323"/>
    <w:rsid w:val="00574B88"/>
    <w:rsid w:val="00575417"/>
    <w:rsid w:val="0057628D"/>
    <w:rsid w:val="005807C8"/>
    <w:rsid w:val="005809DB"/>
    <w:rsid w:val="00581CE6"/>
    <w:rsid w:val="00584DE2"/>
    <w:rsid w:val="00586970"/>
    <w:rsid w:val="00587929"/>
    <w:rsid w:val="00591FE0"/>
    <w:rsid w:val="0059231F"/>
    <w:rsid w:val="005A0269"/>
    <w:rsid w:val="005A0A0A"/>
    <w:rsid w:val="005A15BD"/>
    <w:rsid w:val="005A79C1"/>
    <w:rsid w:val="005B2A90"/>
    <w:rsid w:val="005B34FF"/>
    <w:rsid w:val="005B3866"/>
    <w:rsid w:val="005B3936"/>
    <w:rsid w:val="005B43C6"/>
    <w:rsid w:val="005B53DA"/>
    <w:rsid w:val="005B6879"/>
    <w:rsid w:val="005C221F"/>
    <w:rsid w:val="005C5D34"/>
    <w:rsid w:val="005D05D4"/>
    <w:rsid w:val="005D2EE5"/>
    <w:rsid w:val="005D390C"/>
    <w:rsid w:val="005D5B39"/>
    <w:rsid w:val="005D6388"/>
    <w:rsid w:val="005D7AAB"/>
    <w:rsid w:val="005E05E4"/>
    <w:rsid w:val="005E0872"/>
    <w:rsid w:val="005E2A4B"/>
    <w:rsid w:val="005E2D37"/>
    <w:rsid w:val="005E50F6"/>
    <w:rsid w:val="005E6B05"/>
    <w:rsid w:val="005F1D60"/>
    <w:rsid w:val="005F2C4B"/>
    <w:rsid w:val="005F4043"/>
    <w:rsid w:val="005F4AFD"/>
    <w:rsid w:val="005F5954"/>
    <w:rsid w:val="005F7405"/>
    <w:rsid w:val="005F74EF"/>
    <w:rsid w:val="006009AB"/>
    <w:rsid w:val="00600E5A"/>
    <w:rsid w:val="006023D9"/>
    <w:rsid w:val="00602A0F"/>
    <w:rsid w:val="00602ABB"/>
    <w:rsid w:val="006035B0"/>
    <w:rsid w:val="00603B3B"/>
    <w:rsid w:val="00604832"/>
    <w:rsid w:val="00604ED2"/>
    <w:rsid w:val="006131BC"/>
    <w:rsid w:val="00614748"/>
    <w:rsid w:val="00616032"/>
    <w:rsid w:val="006160C8"/>
    <w:rsid w:val="00616169"/>
    <w:rsid w:val="0061690B"/>
    <w:rsid w:val="00621BF2"/>
    <w:rsid w:val="0062388A"/>
    <w:rsid w:val="006242D7"/>
    <w:rsid w:val="00624ECD"/>
    <w:rsid w:val="00625BE1"/>
    <w:rsid w:val="00630E25"/>
    <w:rsid w:val="00633CC5"/>
    <w:rsid w:val="00633E7D"/>
    <w:rsid w:val="00635CE8"/>
    <w:rsid w:val="006361DC"/>
    <w:rsid w:val="0063797A"/>
    <w:rsid w:val="00637BDB"/>
    <w:rsid w:val="0064081A"/>
    <w:rsid w:val="00642257"/>
    <w:rsid w:val="0064315E"/>
    <w:rsid w:val="00643FC7"/>
    <w:rsid w:val="006441AE"/>
    <w:rsid w:val="0064543C"/>
    <w:rsid w:val="00645557"/>
    <w:rsid w:val="00646366"/>
    <w:rsid w:val="0065039C"/>
    <w:rsid w:val="00650885"/>
    <w:rsid w:val="00650E37"/>
    <w:rsid w:val="00650F39"/>
    <w:rsid w:val="006515AC"/>
    <w:rsid w:val="00651B52"/>
    <w:rsid w:val="006527D6"/>
    <w:rsid w:val="00656AA0"/>
    <w:rsid w:val="00657045"/>
    <w:rsid w:val="0065785B"/>
    <w:rsid w:val="00660907"/>
    <w:rsid w:val="00662701"/>
    <w:rsid w:val="006657E7"/>
    <w:rsid w:val="0066706E"/>
    <w:rsid w:val="00667DE4"/>
    <w:rsid w:val="006707A9"/>
    <w:rsid w:val="00670B3A"/>
    <w:rsid w:val="00671509"/>
    <w:rsid w:val="006731B4"/>
    <w:rsid w:val="00674482"/>
    <w:rsid w:val="00675A74"/>
    <w:rsid w:val="00677112"/>
    <w:rsid w:val="00677597"/>
    <w:rsid w:val="00682259"/>
    <w:rsid w:val="0068385C"/>
    <w:rsid w:val="006844DE"/>
    <w:rsid w:val="00686F3B"/>
    <w:rsid w:val="00691502"/>
    <w:rsid w:val="00694753"/>
    <w:rsid w:val="00694ECE"/>
    <w:rsid w:val="00694F9B"/>
    <w:rsid w:val="00697144"/>
    <w:rsid w:val="006A3B5F"/>
    <w:rsid w:val="006A426D"/>
    <w:rsid w:val="006A4F0C"/>
    <w:rsid w:val="006A5285"/>
    <w:rsid w:val="006B21CD"/>
    <w:rsid w:val="006B5492"/>
    <w:rsid w:val="006B72C0"/>
    <w:rsid w:val="006B784E"/>
    <w:rsid w:val="006B7F42"/>
    <w:rsid w:val="006C08BB"/>
    <w:rsid w:val="006C0919"/>
    <w:rsid w:val="006C24B0"/>
    <w:rsid w:val="006C370F"/>
    <w:rsid w:val="006C395D"/>
    <w:rsid w:val="006C5907"/>
    <w:rsid w:val="006C5B93"/>
    <w:rsid w:val="006C7529"/>
    <w:rsid w:val="006D0873"/>
    <w:rsid w:val="006D18F6"/>
    <w:rsid w:val="006D1B2D"/>
    <w:rsid w:val="006D4C1F"/>
    <w:rsid w:val="006D721F"/>
    <w:rsid w:val="006D7A1C"/>
    <w:rsid w:val="006E0631"/>
    <w:rsid w:val="006E0A81"/>
    <w:rsid w:val="006E0BD4"/>
    <w:rsid w:val="006E6213"/>
    <w:rsid w:val="006E64E7"/>
    <w:rsid w:val="006F3119"/>
    <w:rsid w:val="006F351C"/>
    <w:rsid w:val="006F3B14"/>
    <w:rsid w:val="006F5FF2"/>
    <w:rsid w:val="006F695E"/>
    <w:rsid w:val="006F77DA"/>
    <w:rsid w:val="00700123"/>
    <w:rsid w:val="00703417"/>
    <w:rsid w:val="00703CAD"/>
    <w:rsid w:val="00704307"/>
    <w:rsid w:val="00707C36"/>
    <w:rsid w:val="0071204E"/>
    <w:rsid w:val="007130A2"/>
    <w:rsid w:val="0071475B"/>
    <w:rsid w:val="00714993"/>
    <w:rsid w:val="00716870"/>
    <w:rsid w:val="007208A1"/>
    <w:rsid w:val="00722230"/>
    <w:rsid w:val="00722AC5"/>
    <w:rsid w:val="007241D3"/>
    <w:rsid w:val="00727386"/>
    <w:rsid w:val="007308E1"/>
    <w:rsid w:val="00732579"/>
    <w:rsid w:val="00734F85"/>
    <w:rsid w:val="0073598D"/>
    <w:rsid w:val="00735A13"/>
    <w:rsid w:val="0073633D"/>
    <w:rsid w:val="00743BEA"/>
    <w:rsid w:val="00744966"/>
    <w:rsid w:val="00745402"/>
    <w:rsid w:val="00750BE8"/>
    <w:rsid w:val="00750E6D"/>
    <w:rsid w:val="00750F96"/>
    <w:rsid w:val="00751598"/>
    <w:rsid w:val="00751821"/>
    <w:rsid w:val="0075306F"/>
    <w:rsid w:val="00753148"/>
    <w:rsid w:val="00753586"/>
    <w:rsid w:val="00755403"/>
    <w:rsid w:val="00757B90"/>
    <w:rsid w:val="00760069"/>
    <w:rsid w:val="00760C9C"/>
    <w:rsid w:val="0076338B"/>
    <w:rsid w:val="007642A0"/>
    <w:rsid w:val="0076468F"/>
    <w:rsid w:val="00764FC7"/>
    <w:rsid w:val="00766638"/>
    <w:rsid w:val="007678E6"/>
    <w:rsid w:val="00767AE4"/>
    <w:rsid w:val="0077034C"/>
    <w:rsid w:val="00770A66"/>
    <w:rsid w:val="00772FF2"/>
    <w:rsid w:val="00774E68"/>
    <w:rsid w:val="00775414"/>
    <w:rsid w:val="00775538"/>
    <w:rsid w:val="007766FF"/>
    <w:rsid w:val="00777932"/>
    <w:rsid w:val="007815DD"/>
    <w:rsid w:val="007849C0"/>
    <w:rsid w:val="0078773C"/>
    <w:rsid w:val="007877DC"/>
    <w:rsid w:val="00792005"/>
    <w:rsid w:val="007955C1"/>
    <w:rsid w:val="007965D6"/>
    <w:rsid w:val="007A0AC6"/>
    <w:rsid w:val="007A2306"/>
    <w:rsid w:val="007A31E2"/>
    <w:rsid w:val="007A63E4"/>
    <w:rsid w:val="007A7DD7"/>
    <w:rsid w:val="007B1111"/>
    <w:rsid w:val="007B200E"/>
    <w:rsid w:val="007B3C28"/>
    <w:rsid w:val="007B6F0E"/>
    <w:rsid w:val="007B7432"/>
    <w:rsid w:val="007B77C2"/>
    <w:rsid w:val="007C1244"/>
    <w:rsid w:val="007C3DDA"/>
    <w:rsid w:val="007C720E"/>
    <w:rsid w:val="007D0071"/>
    <w:rsid w:val="007D251E"/>
    <w:rsid w:val="007D2A89"/>
    <w:rsid w:val="007D36DC"/>
    <w:rsid w:val="007D5EEE"/>
    <w:rsid w:val="007E0B52"/>
    <w:rsid w:val="007E24E5"/>
    <w:rsid w:val="007E2A8B"/>
    <w:rsid w:val="007E3657"/>
    <w:rsid w:val="007E45DA"/>
    <w:rsid w:val="007E5805"/>
    <w:rsid w:val="007E59EE"/>
    <w:rsid w:val="007E5B83"/>
    <w:rsid w:val="007F0789"/>
    <w:rsid w:val="007F1FAA"/>
    <w:rsid w:val="007F22FE"/>
    <w:rsid w:val="007F5B12"/>
    <w:rsid w:val="00802214"/>
    <w:rsid w:val="0080364A"/>
    <w:rsid w:val="00803C76"/>
    <w:rsid w:val="0080501B"/>
    <w:rsid w:val="008059E8"/>
    <w:rsid w:val="00806354"/>
    <w:rsid w:val="008079A0"/>
    <w:rsid w:val="008079C2"/>
    <w:rsid w:val="00810216"/>
    <w:rsid w:val="00810F52"/>
    <w:rsid w:val="00811178"/>
    <w:rsid w:val="0081460E"/>
    <w:rsid w:val="00817023"/>
    <w:rsid w:val="00817B11"/>
    <w:rsid w:val="00817CA7"/>
    <w:rsid w:val="00820FBE"/>
    <w:rsid w:val="008219F3"/>
    <w:rsid w:val="00821A45"/>
    <w:rsid w:val="00822209"/>
    <w:rsid w:val="00823121"/>
    <w:rsid w:val="0082514C"/>
    <w:rsid w:val="00830619"/>
    <w:rsid w:val="0083492C"/>
    <w:rsid w:val="008358AD"/>
    <w:rsid w:val="00835CB1"/>
    <w:rsid w:val="00841F84"/>
    <w:rsid w:val="00845685"/>
    <w:rsid w:val="00846D58"/>
    <w:rsid w:val="00846E45"/>
    <w:rsid w:val="00847897"/>
    <w:rsid w:val="00851D00"/>
    <w:rsid w:val="00851DAA"/>
    <w:rsid w:val="008544C5"/>
    <w:rsid w:val="008571A1"/>
    <w:rsid w:val="008609D6"/>
    <w:rsid w:val="00861101"/>
    <w:rsid w:val="00862AE9"/>
    <w:rsid w:val="00863545"/>
    <w:rsid w:val="00863AD5"/>
    <w:rsid w:val="00863E9A"/>
    <w:rsid w:val="00864A8D"/>
    <w:rsid w:val="0086655E"/>
    <w:rsid w:val="00866908"/>
    <w:rsid w:val="00867128"/>
    <w:rsid w:val="0086722C"/>
    <w:rsid w:val="00867CEB"/>
    <w:rsid w:val="008707B6"/>
    <w:rsid w:val="00871CCA"/>
    <w:rsid w:val="00872B78"/>
    <w:rsid w:val="00875387"/>
    <w:rsid w:val="00877753"/>
    <w:rsid w:val="00880A51"/>
    <w:rsid w:val="00880BB6"/>
    <w:rsid w:val="008852D5"/>
    <w:rsid w:val="008855D0"/>
    <w:rsid w:val="008871CE"/>
    <w:rsid w:val="008911D7"/>
    <w:rsid w:val="0089179F"/>
    <w:rsid w:val="00894BA2"/>
    <w:rsid w:val="00896D11"/>
    <w:rsid w:val="00897B75"/>
    <w:rsid w:val="008A1276"/>
    <w:rsid w:val="008A14A7"/>
    <w:rsid w:val="008A1857"/>
    <w:rsid w:val="008A445C"/>
    <w:rsid w:val="008A4DF6"/>
    <w:rsid w:val="008A5971"/>
    <w:rsid w:val="008B170E"/>
    <w:rsid w:val="008B30C0"/>
    <w:rsid w:val="008B3689"/>
    <w:rsid w:val="008B3E6B"/>
    <w:rsid w:val="008C1414"/>
    <w:rsid w:val="008C22BE"/>
    <w:rsid w:val="008C2841"/>
    <w:rsid w:val="008C3154"/>
    <w:rsid w:val="008C5D57"/>
    <w:rsid w:val="008D2636"/>
    <w:rsid w:val="008E1A98"/>
    <w:rsid w:val="008E77F9"/>
    <w:rsid w:val="008E7BDF"/>
    <w:rsid w:val="00900E08"/>
    <w:rsid w:val="00901D05"/>
    <w:rsid w:val="00903A40"/>
    <w:rsid w:val="0090753F"/>
    <w:rsid w:val="00907BC4"/>
    <w:rsid w:val="00912C0C"/>
    <w:rsid w:val="00912C11"/>
    <w:rsid w:val="00912F83"/>
    <w:rsid w:val="0091316E"/>
    <w:rsid w:val="00913406"/>
    <w:rsid w:val="00916D78"/>
    <w:rsid w:val="0092008D"/>
    <w:rsid w:val="00920294"/>
    <w:rsid w:val="00920587"/>
    <w:rsid w:val="00922043"/>
    <w:rsid w:val="00922B72"/>
    <w:rsid w:val="00922E04"/>
    <w:rsid w:val="0092378C"/>
    <w:rsid w:val="00924EA3"/>
    <w:rsid w:val="00927646"/>
    <w:rsid w:val="00930550"/>
    <w:rsid w:val="00931603"/>
    <w:rsid w:val="0093461E"/>
    <w:rsid w:val="00934C89"/>
    <w:rsid w:val="00934FE5"/>
    <w:rsid w:val="009350A0"/>
    <w:rsid w:val="00936BF8"/>
    <w:rsid w:val="00936DFE"/>
    <w:rsid w:val="00937845"/>
    <w:rsid w:val="0094069F"/>
    <w:rsid w:val="00941247"/>
    <w:rsid w:val="009420FC"/>
    <w:rsid w:val="00944BDF"/>
    <w:rsid w:val="009461DC"/>
    <w:rsid w:val="009468F6"/>
    <w:rsid w:val="0094784E"/>
    <w:rsid w:val="0095003A"/>
    <w:rsid w:val="0095055B"/>
    <w:rsid w:val="00950AF5"/>
    <w:rsid w:val="00952959"/>
    <w:rsid w:val="00952B0C"/>
    <w:rsid w:val="00952BD3"/>
    <w:rsid w:val="00953B17"/>
    <w:rsid w:val="00957A6B"/>
    <w:rsid w:val="00962066"/>
    <w:rsid w:val="00963073"/>
    <w:rsid w:val="009664DD"/>
    <w:rsid w:val="0097008F"/>
    <w:rsid w:val="00970B63"/>
    <w:rsid w:val="00971491"/>
    <w:rsid w:val="0097179A"/>
    <w:rsid w:val="009734E5"/>
    <w:rsid w:val="00973653"/>
    <w:rsid w:val="00974894"/>
    <w:rsid w:val="00976F48"/>
    <w:rsid w:val="00981D56"/>
    <w:rsid w:val="00982BE7"/>
    <w:rsid w:val="009838E1"/>
    <w:rsid w:val="00983930"/>
    <w:rsid w:val="00983B2E"/>
    <w:rsid w:val="00984664"/>
    <w:rsid w:val="00984DC5"/>
    <w:rsid w:val="00993339"/>
    <w:rsid w:val="00995835"/>
    <w:rsid w:val="009A0C9A"/>
    <w:rsid w:val="009A1D6C"/>
    <w:rsid w:val="009A242D"/>
    <w:rsid w:val="009A469F"/>
    <w:rsid w:val="009A62CB"/>
    <w:rsid w:val="009A7C51"/>
    <w:rsid w:val="009B119C"/>
    <w:rsid w:val="009B48D5"/>
    <w:rsid w:val="009B54CF"/>
    <w:rsid w:val="009B552D"/>
    <w:rsid w:val="009C1076"/>
    <w:rsid w:val="009C3403"/>
    <w:rsid w:val="009C435B"/>
    <w:rsid w:val="009C5F3C"/>
    <w:rsid w:val="009C6D06"/>
    <w:rsid w:val="009D0879"/>
    <w:rsid w:val="009D1728"/>
    <w:rsid w:val="009D36A7"/>
    <w:rsid w:val="009D3D3B"/>
    <w:rsid w:val="009E05B0"/>
    <w:rsid w:val="009E1A91"/>
    <w:rsid w:val="009E6F05"/>
    <w:rsid w:val="009F0B81"/>
    <w:rsid w:val="009F3EA2"/>
    <w:rsid w:val="009F60AB"/>
    <w:rsid w:val="009F64DB"/>
    <w:rsid w:val="00A00B9D"/>
    <w:rsid w:val="00A0216E"/>
    <w:rsid w:val="00A02980"/>
    <w:rsid w:val="00A034D9"/>
    <w:rsid w:val="00A060C2"/>
    <w:rsid w:val="00A06BA8"/>
    <w:rsid w:val="00A06E31"/>
    <w:rsid w:val="00A073B3"/>
    <w:rsid w:val="00A07913"/>
    <w:rsid w:val="00A110C4"/>
    <w:rsid w:val="00A1489F"/>
    <w:rsid w:val="00A14F5F"/>
    <w:rsid w:val="00A16A25"/>
    <w:rsid w:val="00A17C1D"/>
    <w:rsid w:val="00A21669"/>
    <w:rsid w:val="00A22284"/>
    <w:rsid w:val="00A242E8"/>
    <w:rsid w:val="00A24B8E"/>
    <w:rsid w:val="00A25C2A"/>
    <w:rsid w:val="00A26392"/>
    <w:rsid w:val="00A2740D"/>
    <w:rsid w:val="00A31264"/>
    <w:rsid w:val="00A32822"/>
    <w:rsid w:val="00A33A6B"/>
    <w:rsid w:val="00A33DE3"/>
    <w:rsid w:val="00A341D0"/>
    <w:rsid w:val="00A34A3A"/>
    <w:rsid w:val="00A360A9"/>
    <w:rsid w:val="00A36E3F"/>
    <w:rsid w:val="00A36F7C"/>
    <w:rsid w:val="00A40344"/>
    <w:rsid w:val="00A4051B"/>
    <w:rsid w:val="00A40EBF"/>
    <w:rsid w:val="00A4215F"/>
    <w:rsid w:val="00A43F1D"/>
    <w:rsid w:val="00A440B1"/>
    <w:rsid w:val="00A44B15"/>
    <w:rsid w:val="00A45540"/>
    <w:rsid w:val="00A45D4E"/>
    <w:rsid w:val="00A505B1"/>
    <w:rsid w:val="00A51517"/>
    <w:rsid w:val="00A538B9"/>
    <w:rsid w:val="00A53CEF"/>
    <w:rsid w:val="00A541D0"/>
    <w:rsid w:val="00A57102"/>
    <w:rsid w:val="00A6189F"/>
    <w:rsid w:val="00A6213C"/>
    <w:rsid w:val="00A62512"/>
    <w:rsid w:val="00A62629"/>
    <w:rsid w:val="00A64479"/>
    <w:rsid w:val="00A672CE"/>
    <w:rsid w:val="00A67BEF"/>
    <w:rsid w:val="00A71D2A"/>
    <w:rsid w:val="00A722E1"/>
    <w:rsid w:val="00A80379"/>
    <w:rsid w:val="00A8045B"/>
    <w:rsid w:val="00A83D37"/>
    <w:rsid w:val="00A84B14"/>
    <w:rsid w:val="00A869C0"/>
    <w:rsid w:val="00A86ADA"/>
    <w:rsid w:val="00A8736B"/>
    <w:rsid w:val="00A87875"/>
    <w:rsid w:val="00A9030A"/>
    <w:rsid w:val="00A93B86"/>
    <w:rsid w:val="00A94921"/>
    <w:rsid w:val="00A95AC6"/>
    <w:rsid w:val="00A95F4E"/>
    <w:rsid w:val="00A96D4C"/>
    <w:rsid w:val="00A9738F"/>
    <w:rsid w:val="00AA0A2C"/>
    <w:rsid w:val="00AA1C9F"/>
    <w:rsid w:val="00AA219D"/>
    <w:rsid w:val="00AA2425"/>
    <w:rsid w:val="00AA3768"/>
    <w:rsid w:val="00AA427D"/>
    <w:rsid w:val="00AA4452"/>
    <w:rsid w:val="00AA589F"/>
    <w:rsid w:val="00AA5A12"/>
    <w:rsid w:val="00AA600A"/>
    <w:rsid w:val="00AA60A4"/>
    <w:rsid w:val="00AA721F"/>
    <w:rsid w:val="00AA7E28"/>
    <w:rsid w:val="00AB0CDF"/>
    <w:rsid w:val="00AB3923"/>
    <w:rsid w:val="00AB5E99"/>
    <w:rsid w:val="00AB7141"/>
    <w:rsid w:val="00AC0462"/>
    <w:rsid w:val="00AC0914"/>
    <w:rsid w:val="00AC1AC8"/>
    <w:rsid w:val="00AC542B"/>
    <w:rsid w:val="00AD5936"/>
    <w:rsid w:val="00AD7D74"/>
    <w:rsid w:val="00AE27AE"/>
    <w:rsid w:val="00AE50B5"/>
    <w:rsid w:val="00AE711A"/>
    <w:rsid w:val="00AF08B9"/>
    <w:rsid w:val="00AF359E"/>
    <w:rsid w:val="00AF5AAA"/>
    <w:rsid w:val="00AF6280"/>
    <w:rsid w:val="00AF6D3E"/>
    <w:rsid w:val="00AF7026"/>
    <w:rsid w:val="00B00F3B"/>
    <w:rsid w:val="00B02108"/>
    <w:rsid w:val="00B023EA"/>
    <w:rsid w:val="00B03529"/>
    <w:rsid w:val="00B0731C"/>
    <w:rsid w:val="00B07342"/>
    <w:rsid w:val="00B073C1"/>
    <w:rsid w:val="00B1276C"/>
    <w:rsid w:val="00B14339"/>
    <w:rsid w:val="00B14C2F"/>
    <w:rsid w:val="00B15B6B"/>
    <w:rsid w:val="00B2140D"/>
    <w:rsid w:val="00B21A7E"/>
    <w:rsid w:val="00B31C5A"/>
    <w:rsid w:val="00B34641"/>
    <w:rsid w:val="00B349FE"/>
    <w:rsid w:val="00B36355"/>
    <w:rsid w:val="00B370DB"/>
    <w:rsid w:val="00B45826"/>
    <w:rsid w:val="00B4594C"/>
    <w:rsid w:val="00B47776"/>
    <w:rsid w:val="00B5090F"/>
    <w:rsid w:val="00B52CD0"/>
    <w:rsid w:val="00B52DB9"/>
    <w:rsid w:val="00B5442F"/>
    <w:rsid w:val="00B5570A"/>
    <w:rsid w:val="00B60334"/>
    <w:rsid w:val="00B677FE"/>
    <w:rsid w:val="00B67BF2"/>
    <w:rsid w:val="00B72AF0"/>
    <w:rsid w:val="00B746EB"/>
    <w:rsid w:val="00B76049"/>
    <w:rsid w:val="00B8265D"/>
    <w:rsid w:val="00B83343"/>
    <w:rsid w:val="00B86D8B"/>
    <w:rsid w:val="00B8766B"/>
    <w:rsid w:val="00B9007D"/>
    <w:rsid w:val="00B91668"/>
    <w:rsid w:val="00B916DE"/>
    <w:rsid w:val="00B91C97"/>
    <w:rsid w:val="00B92E92"/>
    <w:rsid w:val="00B93FF0"/>
    <w:rsid w:val="00B9403D"/>
    <w:rsid w:val="00B95B8B"/>
    <w:rsid w:val="00BA1741"/>
    <w:rsid w:val="00BA1CA4"/>
    <w:rsid w:val="00BA4E5F"/>
    <w:rsid w:val="00BA4E62"/>
    <w:rsid w:val="00BA6201"/>
    <w:rsid w:val="00BA6215"/>
    <w:rsid w:val="00BA6C97"/>
    <w:rsid w:val="00BA6E8C"/>
    <w:rsid w:val="00BB3816"/>
    <w:rsid w:val="00BB6887"/>
    <w:rsid w:val="00BC2172"/>
    <w:rsid w:val="00BC2620"/>
    <w:rsid w:val="00BC3188"/>
    <w:rsid w:val="00BC3197"/>
    <w:rsid w:val="00BC3246"/>
    <w:rsid w:val="00BC65BE"/>
    <w:rsid w:val="00BC7BBA"/>
    <w:rsid w:val="00BD2DD8"/>
    <w:rsid w:val="00BD3B91"/>
    <w:rsid w:val="00BD7ED9"/>
    <w:rsid w:val="00BE0B2A"/>
    <w:rsid w:val="00BE3392"/>
    <w:rsid w:val="00BE39DB"/>
    <w:rsid w:val="00BE493D"/>
    <w:rsid w:val="00BE78A0"/>
    <w:rsid w:val="00BE78C9"/>
    <w:rsid w:val="00BF0E24"/>
    <w:rsid w:val="00BF5125"/>
    <w:rsid w:val="00BF6BA8"/>
    <w:rsid w:val="00BF73E6"/>
    <w:rsid w:val="00C0101C"/>
    <w:rsid w:val="00C01B91"/>
    <w:rsid w:val="00C01CAF"/>
    <w:rsid w:val="00C02116"/>
    <w:rsid w:val="00C0519A"/>
    <w:rsid w:val="00C144A3"/>
    <w:rsid w:val="00C156C2"/>
    <w:rsid w:val="00C15F73"/>
    <w:rsid w:val="00C16156"/>
    <w:rsid w:val="00C165EE"/>
    <w:rsid w:val="00C16991"/>
    <w:rsid w:val="00C16DDB"/>
    <w:rsid w:val="00C211F4"/>
    <w:rsid w:val="00C218EF"/>
    <w:rsid w:val="00C22EC6"/>
    <w:rsid w:val="00C27080"/>
    <w:rsid w:val="00C30C61"/>
    <w:rsid w:val="00C31015"/>
    <w:rsid w:val="00C34FC2"/>
    <w:rsid w:val="00C35853"/>
    <w:rsid w:val="00C366C4"/>
    <w:rsid w:val="00C36FA2"/>
    <w:rsid w:val="00C44D1A"/>
    <w:rsid w:val="00C474BC"/>
    <w:rsid w:val="00C47D83"/>
    <w:rsid w:val="00C53009"/>
    <w:rsid w:val="00C54BB4"/>
    <w:rsid w:val="00C54F1A"/>
    <w:rsid w:val="00C552F4"/>
    <w:rsid w:val="00C56351"/>
    <w:rsid w:val="00C56DC8"/>
    <w:rsid w:val="00C622C8"/>
    <w:rsid w:val="00C6312D"/>
    <w:rsid w:val="00C64C9D"/>
    <w:rsid w:val="00C66E81"/>
    <w:rsid w:val="00C67511"/>
    <w:rsid w:val="00C67E89"/>
    <w:rsid w:val="00C702B7"/>
    <w:rsid w:val="00C704F7"/>
    <w:rsid w:val="00C73808"/>
    <w:rsid w:val="00C73918"/>
    <w:rsid w:val="00C73A0F"/>
    <w:rsid w:val="00C744E6"/>
    <w:rsid w:val="00C74C0D"/>
    <w:rsid w:val="00C76FB2"/>
    <w:rsid w:val="00C7720F"/>
    <w:rsid w:val="00C774F1"/>
    <w:rsid w:val="00C80AA0"/>
    <w:rsid w:val="00C81BF0"/>
    <w:rsid w:val="00C82141"/>
    <w:rsid w:val="00C845B5"/>
    <w:rsid w:val="00C8628B"/>
    <w:rsid w:val="00C90A93"/>
    <w:rsid w:val="00C91CBD"/>
    <w:rsid w:val="00C91F16"/>
    <w:rsid w:val="00C92A3D"/>
    <w:rsid w:val="00C93B30"/>
    <w:rsid w:val="00C94153"/>
    <w:rsid w:val="00C9573A"/>
    <w:rsid w:val="00C95D22"/>
    <w:rsid w:val="00C96B67"/>
    <w:rsid w:val="00C97D3E"/>
    <w:rsid w:val="00CA1D56"/>
    <w:rsid w:val="00CA46B4"/>
    <w:rsid w:val="00CA6335"/>
    <w:rsid w:val="00CB0177"/>
    <w:rsid w:val="00CB0D96"/>
    <w:rsid w:val="00CB11D1"/>
    <w:rsid w:val="00CB1F58"/>
    <w:rsid w:val="00CB3797"/>
    <w:rsid w:val="00CB40C7"/>
    <w:rsid w:val="00CB521D"/>
    <w:rsid w:val="00CB625F"/>
    <w:rsid w:val="00CC0BAF"/>
    <w:rsid w:val="00CC2BEC"/>
    <w:rsid w:val="00CC640A"/>
    <w:rsid w:val="00CD09E8"/>
    <w:rsid w:val="00CD1652"/>
    <w:rsid w:val="00CD2A78"/>
    <w:rsid w:val="00CD526B"/>
    <w:rsid w:val="00CD59C2"/>
    <w:rsid w:val="00CD6A32"/>
    <w:rsid w:val="00CE051C"/>
    <w:rsid w:val="00CE1257"/>
    <w:rsid w:val="00CE2E5C"/>
    <w:rsid w:val="00CE33E4"/>
    <w:rsid w:val="00CE4498"/>
    <w:rsid w:val="00CE4C66"/>
    <w:rsid w:val="00CE692F"/>
    <w:rsid w:val="00CE7641"/>
    <w:rsid w:val="00CF0981"/>
    <w:rsid w:val="00CF3485"/>
    <w:rsid w:val="00CF4EE0"/>
    <w:rsid w:val="00D003F1"/>
    <w:rsid w:val="00D014FA"/>
    <w:rsid w:val="00D01ACF"/>
    <w:rsid w:val="00D03B44"/>
    <w:rsid w:val="00D0758D"/>
    <w:rsid w:val="00D12E8E"/>
    <w:rsid w:val="00D13A2A"/>
    <w:rsid w:val="00D15294"/>
    <w:rsid w:val="00D15CBA"/>
    <w:rsid w:val="00D15D43"/>
    <w:rsid w:val="00D15F1D"/>
    <w:rsid w:val="00D1747F"/>
    <w:rsid w:val="00D21843"/>
    <w:rsid w:val="00D224A9"/>
    <w:rsid w:val="00D22C66"/>
    <w:rsid w:val="00D23329"/>
    <w:rsid w:val="00D24854"/>
    <w:rsid w:val="00D24E67"/>
    <w:rsid w:val="00D3144A"/>
    <w:rsid w:val="00D4075A"/>
    <w:rsid w:val="00D40B38"/>
    <w:rsid w:val="00D43C40"/>
    <w:rsid w:val="00D4513F"/>
    <w:rsid w:val="00D47C97"/>
    <w:rsid w:val="00D47ECD"/>
    <w:rsid w:val="00D508C7"/>
    <w:rsid w:val="00D50BE8"/>
    <w:rsid w:val="00D50D52"/>
    <w:rsid w:val="00D5160C"/>
    <w:rsid w:val="00D51745"/>
    <w:rsid w:val="00D53B6B"/>
    <w:rsid w:val="00D54A11"/>
    <w:rsid w:val="00D571C0"/>
    <w:rsid w:val="00D6384E"/>
    <w:rsid w:val="00D64192"/>
    <w:rsid w:val="00D64F7F"/>
    <w:rsid w:val="00D702AE"/>
    <w:rsid w:val="00D7791D"/>
    <w:rsid w:val="00D77FCA"/>
    <w:rsid w:val="00D802A5"/>
    <w:rsid w:val="00D80A6F"/>
    <w:rsid w:val="00D82CBF"/>
    <w:rsid w:val="00D83C98"/>
    <w:rsid w:val="00D84BA7"/>
    <w:rsid w:val="00D86080"/>
    <w:rsid w:val="00D865DF"/>
    <w:rsid w:val="00D8799E"/>
    <w:rsid w:val="00D905C9"/>
    <w:rsid w:val="00D91352"/>
    <w:rsid w:val="00D91821"/>
    <w:rsid w:val="00D931F2"/>
    <w:rsid w:val="00D94AE4"/>
    <w:rsid w:val="00D95BCA"/>
    <w:rsid w:val="00D965C1"/>
    <w:rsid w:val="00DA0038"/>
    <w:rsid w:val="00DA07B1"/>
    <w:rsid w:val="00DA1211"/>
    <w:rsid w:val="00DA1863"/>
    <w:rsid w:val="00DA1893"/>
    <w:rsid w:val="00DA23F0"/>
    <w:rsid w:val="00DA33FC"/>
    <w:rsid w:val="00DA38C8"/>
    <w:rsid w:val="00DA405B"/>
    <w:rsid w:val="00DA6024"/>
    <w:rsid w:val="00DA739E"/>
    <w:rsid w:val="00DA7D14"/>
    <w:rsid w:val="00DB0AEA"/>
    <w:rsid w:val="00DB40F7"/>
    <w:rsid w:val="00DB6911"/>
    <w:rsid w:val="00DB6CEF"/>
    <w:rsid w:val="00DB7A4E"/>
    <w:rsid w:val="00DB7D51"/>
    <w:rsid w:val="00DC130A"/>
    <w:rsid w:val="00DC6171"/>
    <w:rsid w:val="00DC7333"/>
    <w:rsid w:val="00DD285D"/>
    <w:rsid w:val="00DD312D"/>
    <w:rsid w:val="00DD43EC"/>
    <w:rsid w:val="00DD576E"/>
    <w:rsid w:val="00DE1619"/>
    <w:rsid w:val="00DE2994"/>
    <w:rsid w:val="00DE2CF4"/>
    <w:rsid w:val="00DE2F76"/>
    <w:rsid w:val="00DE3F8D"/>
    <w:rsid w:val="00DE447C"/>
    <w:rsid w:val="00DE65DD"/>
    <w:rsid w:val="00DF0CCC"/>
    <w:rsid w:val="00DF1827"/>
    <w:rsid w:val="00DF228D"/>
    <w:rsid w:val="00DF4861"/>
    <w:rsid w:val="00DF509E"/>
    <w:rsid w:val="00DF60AA"/>
    <w:rsid w:val="00DF6C64"/>
    <w:rsid w:val="00E009CF"/>
    <w:rsid w:val="00E02A4C"/>
    <w:rsid w:val="00E0622D"/>
    <w:rsid w:val="00E068B1"/>
    <w:rsid w:val="00E06C40"/>
    <w:rsid w:val="00E1051C"/>
    <w:rsid w:val="00E11CB2"/>
    <w:rsid w:val="00E133B2"/>
    <w:rsid w:val="00E14647"/>
    <w:rsid w:val="00E14D26"/>
    <w:rsid w:val="00E15D95"/>
    <w:rsid w:val="00E160DC"/>
    <w:rsid w:val="00E16506"/>
    <w:rsid w:val="00E20436"/>
    <w:rsid w:val="00E223A8"/>
    <w:rsid w:val="00E23BA8"/>
    <w:rsid w:val="00E24AAF"/>
    <w:rsid w:val="00E27EEA"/>
    <w:rsid w:val="00E303FE"/>
    <w:rsid w:val="00E31E56"/>
    <w:rsid w:val="00E329B6"/>
    <w:rsid w:val="00E32D26"/>
    <w:rsid w:val="00E33673"/>
    <w:rsid w:val="00E33C62"/>
    <w:rsid w:val="00E33DE7"/>
    <w:rsid w:val="00E343EF"/>
    <w:rsid w:val="00E356FB"/>
    <w:rsid w:val="00E37978"/>
    <w:rsid w:val="00E40B69"/>
    <w:rsid w:val="00E423E2"/>
    <w:rsid w:val="00E43701"/>
    <w:rsid w:val="00E44E29"/>
    <w:rsid w:val="00E456A3"/>
    <w:rsid w:val="00E45DC3"/>
    <w:rsid w:val="00E46C10"/>
    <w:rsid w:val="00E50ADE"/>
    <w:rsid w:val="00E51549"/>
    <w:rsid w:val="00E52662"/>
    <w:rsid w:val="00E55062"/>
    <w:rsid w:val="00E55C17"/>
    <w:rsid w:val="00E566EB"/>
    <w:rsid w:val="00E616D3"/>
    <w:rsid w:val="00E63940"/>
    <w:rsid w:val="00E71A2D"/>
    <w:rsid w:val="00E71FAE"/>
    <w:rsid w:val="00E72C41"/>
    <w:rsid w:val="00E738E1"/>
    <w:rsid w:val="00E74AF1"/>
    <w:rsid w:val="00E75D07"/>
    <w:rsid w:val="00E774DB"/>
    <w:rsid w:val="00E77C9D"/>
    <w:rsid w:val="00E8104C"/>
    <w:rsid w:val="00E82986"/>
    <w:rsid w:val="00E84423"/>
    <w:rsid w:val="00E852EC"/>
    <w:rsid w:val="00E857C5"/>
    <w:rsid w:val="00E87567"/>
    <w:rsid w:val="00E90834"/>
    <w:rsid w:val="00E90AE7"/>
    <w:rsid w:val="00E90DEB"/>
    <w:rsid w:val="00E9385E"/>
    <w:rsid w:val="00E94E09"/>
    <w:rsid w:val="00E94E74"/>
    <w:rsid w:val="00E95B8C"/>
    <w:rsid w:val="00E96475"/>
    <w:rsid w:val="00E96FCE"/>
    <w:rsid w:val="00E9768E"/>
    <w:rsid w:val="00EA2A1F"/>
    <w:rsid w:val="00EA35A1"/>
    <w:rsid w:val="00EA408C"/>
    <w:rsid w:val="00EA5BF0"/>
    <w:rsid w:val="00EA7AFB"/>
    <w:rsid w:val="00EB0483"/>
    <w:rsid w:val="00EB153B"/>
    <w:rsid w:val="00EB4171"/>
    <w:rsid w:val="00EB6182"/>
    <w:rsid w:val="00EB7802"/>
    <w:rsid w:val="00EB7A1C"/>
    <w:rsid w:val="00EB7B04"/>
    <w:rsid w:val="00EC0FB1"/>
    <w:rsid w:val="00EC1410"/>
    <w:rsid w:val="00EC2152"/>
    <w:rsid w:val="00EC2688"/>
    <w:rsid w:val="00EC328E"/>
    <w:rsid w:val="00EC3F64"/>
    <w:rsid w:val="00EC46D9"/>
    <w:rsid w:val="00EC5121"/>
    <w:rsid w:val="00EC666D"/>
    <w:rsid w:val="00EC7A1C"/>
    <w:rsid w:val="00ED0410"/>
    <w:rsid w:val="00ED1203"/>
    <w:rsid w:val="00ED24C8"/>
    <w:rsid w:val="00ED3736"/>
    <w:rsid w:val="00ED3DD3"/>
    <w:rsid w:val="00ED7045"/>
    <w:rsid w:val="00EE0558"/>
    <w:rsid w:val="00EE147F"/>
    <w:rsid w:val="00EE29D3"/>
    <w:rsid w:val="00EE3885"/>
    <w:rsid w:val="00EE73B1"/>
    <w:rsid w:val="00EE79C9"/>
    <w:rsid w:val="00EF0ECA"/>
    <w:rsid w:val="00EF13C5"/>
    <w:rsid w:val="00EF5451"/>
    <w:rsid w:val="00EF5CCF"/>
    <w:rsid w:val="00EF68EB"/>
    <w:rsid w:val="00EF7EB5"/>
    <w:rsid w:val="00F04556"/>
    <w:rsid w:val="00F04A24"/>
    <w:rsid w:val="00F05EB3"/>
    <w:rsid w:val="00F10935"/>
    <w:rsid w:val="00F116B4"/>
    <w:rsid w:val="00F116C6"/>
    <w:rsid w:val="00F12CB7"/>
    <w:rsid w:val="00F1379F"/>
    <w:rsid w:val="00F148EF"/>
    <w:rsid w:val="00F150FF"/>
    <w:rsid w:val="00F15EF3"/>
    <w:rsid w:val="00F17175"/>
    <w:rsid w:val="00F21F27"/>
    <w:rsid w:val="00F25373"/>
    <w:rsid w:val="00F26BE7"/>
    <w:rsid w:val="00F31811"/>
    <w:rsid w:val="00F331E0"/>
    <w:rsid w:val="00F3503D"/>
    <w:rsid w:val="00F36706"/>
    <w:rsid w:val="00F375F1"/>
    <w:rsid w:val="00F3775C"/>
    <w:rsid w:val="00F37DAE"/>
    <w:rsid w:val="00F4049B"/>
    <w:rsid w:val="00F40604"/>
    <w:rsid w:val="00F424DC"/>
    <w:rsid w:val="00F42BFC"/>
    <w:rsid w:val="00F43116"/>
    <w:rsid w:val="00F44261"/>
    <w:rsid w:val="00F464A7"/>
    <w:rsid w:val="00F512AE"/>
    <w:rsid w:val="00F52271"/>
    <w:rsid w:val="00F53108"/>
    <w:rsid w:val="00F5474A"/>
    <w:rsid w:val="00F547AE"/>
    <w:rsid w:val="00F55E03"/>
    <w:rsid w:val="00F56734"/>
    <w:rsid w:val="00F60EDF"/>
    <w:rsid w:val="00F6453F"/>
    <w:rsid w:val="00F64B10"/>
    <w:rsid w:val="00F66091"/>
    <w:rsid w:val="00F6675A"/>
    <w:rsid w:val="00F77249"/>
    <w:rsid w:val="00F77978"/>
    <w:rsid w:val="00F81500"/>
    <w:rsid w:val="00F815ED"/>
    <w:rsid w:val="00F8194F"/>
    <w:rsid w:val="00F824E0"/>
    <w:rsid w:val="00F828D9"/>
    <w:rsid w:val="00F828EC"/>
    <w:rsid w:val="00F85A74"/>
    <w:rsid w:val="00F87477"/>
    <w:rsid w:val="00F91043"/>
    <w:rsid w:val="00F9136A"/>
    <w:rsid w:val="00F94B63"/>
    <w:rsid w:val="00FA0860"/>
    <w:rsid w:val="00FA26D2"/>
    <w:rsid w:val="00FA362C"/>
    <w:rsid w:val="00FA52F1"/>
    <w:rsid w:val="00FA61A6"/>
    <w:rsid w:val="00FA7802"/>
    <w:rsid w:val="00FB306F"/>
    <w:rsid w:val="00FB37D0"/>
    <w:rsid w:val="00FB4C1E"/>
    <w:rsid w:val="00FB5427"/>
    <w:rsid w:val="00FB54DE"/>
    <w:rsid w:val="00FB6354"/>
    <w:rsid w:val="00FC141F"/>
    <w:rsid w:val="00FC282A"/>
    <w:rsid w:val="00FC2C4E"/>
    <w:rsid w:val="00FC2F9F"/>
    <w:rsid w:val="00FC3C5A"/>
    <w:rsid w:val="00FC6D1D"/>
    <w:rsid w:val="00FD0CC4"/>
    <w:rsid w:val="00FD203E"/>
    <w:rsid w:val="00FD5A48"/>
    <w:rsid w:val="00FD7584"/>
    <w:rsid w:val="00FD7DF4"/>
    <w:rsid w:val="00FD7FAC"/>
    <w:rsid w:val="00FE07A9"/>
    <w:rsid w:val="00FE3F84"/>
    <w:rsid w:val="00FE6E92"/>
    <w:rsid w:val="00FF18D6"/>
    <w:rsid w:val="00FF2176"/>
    <w:rsid w:val="00FF2838"/>
    <w:rsid w:val="00FF436A"/>
    <w:rsid w:val="00FF49AC"/>
    <w:rsid w:val="00FF49C7"/>
    <w:rsid w:val="00FF65E7"/>
    <w:rsid w:val="00FF6700"/>
    <w:rsid w:val="00FF6C8F"/>
    <w:rsid w:val="00FF71AC"/>
    <w:rsid w:val="0D0EDECB"/>
    <w:rsid w:val="0F7B764F"/>
    <w:rsid w:val="1C2DD235"/>
    <w:rsid w:val="2053E040"/>
    <w:rsid w:val="36EFAFC7"/>
    <w:rsid w:val="39756537"/>
    <w:rsid w:val="4A7F4BF4"/>
    <w:rsid w:val="649FD160"/>
    <w:rsid w:val="702F199A"/>
    <w:rsid w:val="70E3F427"/>
    <w:rsid w:val="76D0CE4B"/>
    <w:rsid w:val="787AB3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6FF3F"/>
  <w15:docId w15:val="{EC5179AB-5ADA-4653-8EAC-E13EDA96C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57"/>
    <w:rPr>
      <w:rFonts w:ascii="Arial" w:hAnsi="Arial"/>
    </w:rPr>
  </w:style>
  <w:style w:type="paragraph" w:styleId="Heading1">
    <w:name w:val="heading 1"/>
    <w:basedOn w:val="Normal"/>
    <w:next w:val="Normal"/>
    <w:link w:val="Heading1Char"/>
    <w:uiPriority w:val="9"/>
    <w:qFormat/>
    <w:rsid w:val="005179C6"/>
    <w:pPr>
      <w:keepNext/>
      <w:keepLines/>
      <w:spacing w:before="480" w:after="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45557"/>
    <w:pPr>
      <w:keepNext/>
      <w:keepLines/>
      <w:spacing w:before="80" w:after="0"/>
      <w:outlineLvl w:val="1"/>
    </w:pPr>
    <w:rPr>
      <w:rFonts w:eastAsiaTheme="majorEastAsia" w:cstheme="majorBidi"/>
      <w:bCs/>
      <w:color w:val="4F81BD" w:themeColor="accent1"/>
      <w:sz w:val="28"/>
      <w:szCs w:val="26"/>
    </w:rPr>
  </w:style>
  <w:style w:type="paragraph" w:styleId="Heading3">
    <w:name w:val="heading 3"/>
    <w:basedOn w:val="Normal"/>
    <w:next w:val="Normal"/>
    <w:link w:val="Heading3Char"/>
    <w:uiPriority w:val="9"/>
    <w:unhideWhenUsed/>
    <w:qFormat/>
    <w:rsid w:val="00645557"/>
    <w:pPr>
      <w:keepNext/>
      <w:keepLines/>
      <w:spacing w:before="200" w:after="0"/>
      <w:outlineLvl w:val="2"/>
    </w:pPr>
    <w:rPr>
      <w:rFonts w:eastAsiaTheme="majorEastAsia" w:cstheme="majorBidi"/>
      <w:bCs/>
      <w:color w:val="4F81BD" w:themeColor="accent1"/>
    </w:rPr>
  </w:style>
  <w:style w:type="paragraph" w:styleId="Heading4">
    <w:name w:val="heading 4"/>
    <w:basedOn w:val="Normal"/>
    <w:next w:val="Normal"/>
    <w:link w:val="Heading4Char"/>
    <w:uiPriority w:val="9"/>
    <w:unhideWhenUsed/>
    <w:qFormat/>
    <w:rsid w:val="00DA1893"/>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A6213C"/>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1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179C6"/>
    <w:rPr>
      <w:rFonts w:ascii="Arial" w:eastAsiaTheme="majorEastAsia" w:hAnsi="Arial" w:cstheme="majorBidi"/>
      <w:b/>
      <w:bCs/>
      <w:color w:val="365F91" w:themeColor="accent1" w:themeShade="BF"/>
      <w:sz w:val="28"/>
      <w:szCs w:val="28"/>
    </w:rPr>
  </w:style>
  <w:style w:type="paragraph" w:styleId="TOCHeading">
    <w:name w:val="TOC Heading"/>
    <w:basedOn w:val="Heading1"/>
    <w:next w:val="Normal"/>
    <w:uiPriority w:val="39"/>
    <w:unhideWhenUsed/>
    <w:qFormat/>
    <w:rsid w:val="007F1FAA"/>
    <w:pPr>
      <w:outlineLvl w:val="9"/>
    </w:pPr>
    <w:rPr>
      <w:lang w:val="en-US" w:eastAsia="ja-JP"/>
    </w:rPr>
  </w:style>
  <w:style w:type="paragraph" w:styleId="TOC2">
    <w:name w:val="toc 2"/>
    <w:basedOn w:val="Normal"/>
    <w:next w:val="Normal"/>
    <w:autoRedefine/>
    <w:uiPriority w:val="39"/>
    <w:unhideWhenUsed/>
    <w:qFormat/>
    <w:rsid w:val="007F1FAA"/>
    <w:pPr>
      <w:spacing w:after="100"/>
      <w:ind w:left="220"/>
    </w:pPr>
  </w:style>
  <w:style w:type="character" w:styleId="Hyperlink">
    <w:name w:val="Hyperlink"/>
    <w:basedOn w:val="DefaultParagraphFont"/>
    <w:uiPriority w:val="99"/>
    <w:unhideWhenUsed/>
    <w:rsid w:val="007F1FAA"/>
    <w:rPr>
      <w:color w:val="0000FF" w:themeColor="hyperlink"/>
      <w:u w:val="single"/>
    </w:rPr>
  </w:style>
  <w:style w:type="paragraph" w:styleId="BalloonText">
    <w:name w:val="Balloon Text"/>
    <w:basedOn w:val="Normal"/>
    <w:link w:val="BalloonTextChar"/>
    <w:uiPriority w:val="99"/>
    <w:semiHidden/>
    <w:unhideWhenUsed/>
    <w:rsid w:val="007F1F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1FAA"/>
    <w:rPr>
      <w:rFonts w:ascii="Tahoma" w:hAnsi="Tahoma" w:cs="Tahoma"/>
      <w:sz w:val="16"/>
      <w:szCs w:val="16"/>
    </w:rPr>
  </w:style>
  <w:style w:type="paragraph" w:styleId="NoSpacing">
    <w:name w:val="No Spacing"/>
    <w:link w:val="NoSpacingChar"/>
    <w:uiPriority w:val="1"/>
    <w:qFormat/>
    <w:rsid w:val="002E65A5"/>
    <w:pPr>
      <w:spacing w:after="0" w:line="240" w:lineRule="auto"/>
    </w:pPr>
  </w:style>
  <w:style w:type="paragraph" w:styleId="TOC1">
    <w:name w:val="toc 1"/>
    <w:basedOn w:val="Normal"/>
    <w:next w:val="Normal"/>
    <w:autoRedefine/>
    <w:uiPriority w:val="39"/>
    <w:unhideWhenUsed/>
    <w:qFormat/>
    <w:rsid w:val="006009AB"/>
    <w:pPr>
      <w:tabs>
        <w:tab w:val="right" w:leader="dot" w:pos="9016"/>
      </w:tabs>
      <w:spacing w:after="100"/>
      <w:ind w:left="142"/>
    </w:pPr>
  </w:style>
  <w:style w:type="character" w:customStyle="1" w:styleId="Heading2Char">
    <w:name w:val="Heading 2 Char"/>
    <w:basedOn w:val="DefaultParagraphFont"/>
    <w:link w:val="Heading2"/>
    <w:uiPriority w:val="9"/>
    <w:rsid w:val="00645557"/>
    <w:rPr>
      <w:rFonts w:ascii="Arial" w:eastAsiaTheme="majorEastAsia" w:hAnsi="Arial" w:cstheme="majorBidi"/>
      <w:bCs/>
      <w:color w:val="4F81BD" w:themeColor="accent1"/>
      <w:sz w:val="28"/>
      <w:szCs w:val="26"/>
    </w:rPr>
  </w:style>
  <w:style w:type="paragraph" w:styleId="TOC3">
    <w:name w:val="toc 3"/>
    <w:basedOn w:val="Normal"/>
    <w:next w:val="Normal"/>
    <w:autoRedefine/>
    <w:uiPriority w:val="39"/>
    <w:unhideWhenUsed/>
    <w:qFormat/>
    <w:rsid w:val="0083492C"/>
    <w:pPr>
      <w:spacing w:after="100"/>
      <w:ind w:left="440"/>
    </w:pPr>
    <w:rPr>
      <w:rFonts w:eastAsiaTheme="minorEastAsia"/>
      <w:lang w:val="en-US" w:eastAsia="ja-JP"/>
    </w:rPr>
  </w:style>
  <w:style w:type="character" w:customStyle="1" w:styleId="Heading3Char">
    <w:name w:val="Heading 3 Char"/>
    <w:basedOn w:val="DefaultParagraphFont"/>
    <w:link w:val="Heading3"/>
    <w:uiPriority w:val="9"/>
    <w:rsid w:val="00645557"/>
    <w:rPr>
      <w:rFonts w:ascii="Arial" w:eastAsiaTheme="majorEastAsia" w:hAnsi="Arial" w:cstheme="majorBidi"/>
      <w:bCs/>
      <w:color w:val="4F81BD" w:themeColor="accent1"/>
    </w:rPr>
  </w:style>
  <w:style w:type="paragraph" w:styleId="Header">
    <w:name w:val="header"/>
    <w:basedOn w:val="Normal"/>
    <w:link w:val="HeaderChar"/>
    <w:uiPriority w:val="99"/>
    <w:unhideWhenUsed/>
    <w:rsid w:val="00B31C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1C5A"/>
  </w:style>
  <w:style w:type="paragraph" w:styleId="Footer">
    <w:name w:val="footer"/>
    <w:basedOn w:val="Normal"/>
    <w:link w:val="FooterChar"/>
    <w:uiPriority w:val="99"/>
    <w:unhideWhenUsed/>
    <w:rsid w:val="00B31C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1C5A"/>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71204E"/>
    <w:pPr>
      <w:ind w:left="720"/>
      <w:contextualSpacing/>
    </w:pPr>
  </w:style>
  <w:style w:type="paragraph" w:styleId="PlainText">
    <w:name w:val="Plain Text"/>
    <w:basedOn w:val="Normal"/>
    <w:link w:val="PlainTextChar"/>
    <w:uiPriority w:val="99"/>
    <w:semiHidden/>
    <w:unhideWhenUsed/>
    <w:rsid w:val="00A06E31"/>
    <w:pPr>
      <w:spacing w:after="0" w:line="240" w:lineRule="auto"/>
    </w:pPr>
    <w:rPr>
      <w:rFonts w:ascii="Calibri" w:eastAsiaTheme="minorEastAsia" w:hAnsi="Calibri" w:cs="Times New Roman"/>
      <w:szCs w:val="21"/>
      <w:lang w:eastAsia="en-GB"/>
    </w:rPr>
  </w:style>
  <w:style w:type="character" w:customStyle="1" w:styleId="PlainTextChar">
    <w:name w:val="Plain Text Char"/>
    <w:basedOn w:val="DefaultParagraphFont"/>
    <w:link w:val="PlainText"/>
    <w:uiPriority w:val="99"/>
    <w:semiHidden/>
    <w:rsid w:val="00A06E31"/>
    <w:rPr>
      <w:rFonts w:ascii="Calibri" w:eastAsiaTheme="minorEastAsia" w:hAnsi="Calibri" w:cs="Times New Roman"/>
      <w:szCs w:val="21"/>
      <w:lang w:eastAsia="en-GB"/>
    </w:rPr>
  </w:style>
  <w:style w:type="character" w:styleId="CommentReference">
    <w:name w:val="annotation reference"/>
    <w:basedOn w:val="DefaultParagraphFont"/>
    <w:uiPriority w:val="99"/>
    <w:semiHidden/>
    <w:unhideWhenUsed/>
    <w:rsid w:val="0064543C"/>
    <w:rPr>
      <w:sz w:val="16"/>
      <w:szCs w:val="16"/>
    </w:rPr>
  </w:style>
  <w:style w:type="paragraph" w:styleId="CommentText">
    <w:name w:val="annotation text"/>
    <w:basedOn w:val="Normal"/>
    <w:link w:val="CommentTextChar"/>
    <w:uiPriority w:val="99"/>
    <w:semiHidden/>
    <w:unhideWhenUsed/>
    <w:rsid w:val="0064543C"/>
    <w:pPr>
      <w:spacing w:after="0" w:line="240" w:lineRule="auto"/>
    </w:pPr>
    <w:rPr>
      <w:sz w:val="20"/>
      <w:szCs w:val="20"/>
    </w:rPr>
  </w:style>
  <w:style w:type="character" w:customStyle="1" w:styleId="CommentTextChar">
    <w:name w:val="Comment Text Char"/>
    <w:basedOn w:val="DefaultParagraphFont"/>
    <w:link w:val="CommentText"/>
    <w:uiPriority w:val="99"/>
    <w:semiHidden/>
    <w:rsid w:val="0064543C"/>
    <w:rPr>
      <w:sz w:val="20"/>
      <w:szCs w:val="20"/>
    </w:rPr>
  </w:style>
  <w:style w:type="character" w:styleId="FollowedHyperlink">
    <w:name w:val="FollowedHyperlink"/>
    <w:basedOn w:val="DefaultParagraphFont"/>
    <w:uiPriority w:val="99"/>
    <w:semiHidden/>
    <w:unhideWhenUsed/>
    <w:rsid w:val="00CD2A78"/>
    <w:rPr>
      <w:color w:val="800080" w:themeColor="followedHyperlink"/>
      <w:u w:val="single"/>
    </w:rPr>
  </w:style>
  <w:style w:type="character" w:styleId="UnresolvedMention">
    <w:name w:val="Unresolved Mention"/>
    <w:basedOn w:val="DefaultParagraphFont"/>
    <w:uiPriority w:val="99"/>
    <w:semiHidden/>
    <w:unhideWhenUsed/>
    <w:rsid w:val="0013037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2D7494"/>
    <w:pPr>
      <w:spacing w:after="200"/>
    </w:pPr>
    <w:rPr>
      <w:b/>
      <w:bCs/>
    </w:rPr>
  </w:style>
  <w:style w:type="character" w:customStyle="1" w:styleId="CommentSubjectChar">
    <w:name w:val="Comment Subject Char"/>
    <w:basedOn w:val="CommentTextChar"/>
    <w:link w:val="CommentSubject"/>
    <w:uiPriority w:val="99"/>
    <w:semiHidden/>
    <w:rsid w:val="002D7494"/>
    <w:rPr>
      <w:b/>
      <w:bCs/>
      <w:sz w:val="20"/>
      <w:szCs w:val="20"/>
    </w:rPr>
  </w:style>
  <w:style w:type="paragraph" w:styleId="NormalWeb">
    <w:name w:val="Normal (Web)"/>
    <w:basedOn w:val="Normal"/>
    <w:uiPriority w:val="99"/>
    <w:semiHidden/>
    <w:unhideWhenUsed/>
    <w:rsid w:val="00AE50B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735A1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35A13"/>
  </w:style>
  <w:style w:type="character" w:customStyle="1" w:styleId="eop">
    <w:name w:val="eop"/>
    <w:basedOn w:val="DefaultParagraphFont"/>
    <w:rsid w:val="00735A13"/>
  </w:style>
  <w:style w:type="paragraph" w:customStyle="1" w:styleId="Default">
    <w:name w:val="Default"/>
    <w:rsid w:val="00913406"/>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543068"/>
    <w:pPr>
      <w:spacing w:after="0" w:line="240" w:lineRule="auto"/>
    </w:pPr>
    <w:rPr>
      <w:rFonts w:ascii="Arial" w:hAnsi="Arial"/>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locked/>
    <w:rsid w:val="000410DF"/>
    <w:rPr>
      <w:rFonts w:ascii="Arial" w:hAnsi="Arial"/>
    </w:rPr>
  </w:style>
  <w:style w:type="character" w:customStyle="1" w:styleId="NoSpacingChar">
    <w:name w:val="No Spacing Char"/>
    <w:link w:val="NoSpacing"/>
    <w:uiPriority w:val="1"/>
    <w:rsid w:val="00DB40F7"/>
  </w:style>
  <w:style w:type="character" w:customStyle="1" w:styleId="Heading4Char">
    <w:name w:val="Heading 4 Char"/>
    <w:basedOn w:val="DefaultParagraphFont"/>
    <w:link w:val="Heading4"/>
    <w:uiPriority w:val="9"/>
    <w:rsid w:val="00DA1893"/>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A6213C"/>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90893">
      <w:bodyDiv w:val="1"/>
      <w:marLeft w:val="0"/>
      <w:marRight w:val="0"/>
      <w:marTop w:val="0"/>
      <w:marBottom w:val="0"/>
      <w:divBdr>
        <w:top w:val="none" w:sz="0" w:space="0" w:color="auto"/>
        <w:left w:val="none" w:sz="0" w:space="0" w:color="auto"/>
        <w:bottom w:val="none" w:sz="0" w:space="0" w:color="auto"/>
        <w:right w:val="none" w:sz="0" w:space="0" w:color="auto"/>
      </w:divBdr>
    </w:div>
    <w:div w:id="194274574">
      <w:bodyDiv w:val="1"/>
      <w:marLeft w:val="0"/>
      <w:marRight w:val="0"/>
      <w:marTop w:val="0"/>
      <w:marBottom w:val="0"/>
      <w:divBdr>
        <w:top w:val="none" w:sz="0" w:space="0" w:color="auto"/>
        <w:left w:val="none" w:sz="0" w:space="0" w:color="auto"/>
        <w:bottom w:val="none" w:sz="0" w:space="0" w:color="auto"/>
        <w:right w:val="none" w:sz="0" w:space="0" w:color="auto"/>
      </w:divBdr>
    </w:div>
    <w:div w:id="346835623">
      <w:bodyDiv w:val="1"/>
      <w:marLeft w:val="0"/>
      <w:marRight w:val="0"/>
      <w:marTop w:val="0"/>
      <w:marBottom w:val="0"/>
      <w:divBdr>
        <w:top w:val="none" w:sz="0" w:space="0" w:color="auto"/>
        <w:left w:val="none" w:sz="0" w:space="0" w:color="auto"/>
        <w:bottom w:val="none" w:sz="0" w:space="0" w:color="auto"/>
        <w:right w:val="none" w:sz="0" w:space="0" w:color="auto"/>
      </w:divBdr>
    </w:div>
    <w:div w:id="351037359">
      <w:bodyDiv w:val="1"/>
      <w:marLeft w:val="0"/>
      <w:marRight w:val="0"/>
      <w:marTop w:val="0"/>
      <w:marBottom w:val="0"/>
      <w:divBdr>
        <w:top w:val="none" w:sz="0" w:space="0" w:color="auto"/>
        <w:left w:val="none" w:sz="0" w:space="0" w:color="auto"/>
        <w:bottom w:val="none" w:sz="0" w:space="0" w:color="auto"/>
        <w:right w:val="none" w:sz="0" w:space="0" w:color="auto"/>
      </w:divBdr>
    </w:div>
    <w:div w:id="409935313">
      <w:bodyDiv w:val="1"/>
      <w:marLeft w:val="0"/>
      <w:marRight w:val="0"/>
      <w:marTop w:val="0"/>
      <w:marBottom w:val="0"/>
      <w:divBdr>
        <w:top w:val="none" w:sz="0" w:space="0" w:color="auto"/>
        <w:left w:val="none" w:sz="0" w:space="0" w:color="auto"/>
        <w:bottom w:val="none" w:sz="0" w:space="0" w:color="auto"/>
        <w:right w:val="none" w:sz="0" w:space="0" w:color="auto"/>
      </w:divBdr>
    </w:div>
    <w:div w:id="432289842">
      <w:bodyDiv w:val="1"/>
      <w:marLeft w:val="0"/>
      <w:marRight w:val="0"/>
      <w:marTop w:val="0"/>
      <w:marBottom w:val="0"/>
      <w:divBdr>
        <w:top w:val="none" w:sz="0" w:space="0" w:color="auto"/>
        <w:left w:val="none" w:sz="0" w:space="0" w:color="auto"/>
        <w:bottom w:val="none" w:sz="0" w:space="0" w:color="auto"/>
        <w:right w:val="none" w:sz="0" w:space="0" w:color="auto"/>
      </w:divBdr>
    </w:div>
    <w:div w:id="518347741">
      <w:bodyDiv w:val="1"/>
      <w:marLeft w:val="0"/>
      <w:marRight w:val="0"/>
      <w:marTop w:val="0"/>
      <w:marBottom w:val="0"/>
      <w:divBdr>
        <w:top w:val="none" w:sz="0" w:space="0" w:color="auto"/>
        <w:left w:val="none" w:sz="0" w:space="0" w:color="auto"/>
        <w:bottom w:val="none" w:sz="0" w:space="0" w:color="auto"/>
        <w:right w:val="none" w:sz="0" w:space="0" w:color="auto"/>
      </w:divBdr>
    </w:div>
    <w:div w:id="527723097">
      <w:bodyDiv w:val="1"/>
      <w:marLeft w:val="0"/>
      <w:marRight w:val="0"/>
      <w:marTop w:val="0"/>
      <w:marBottom w:val="0"/>
      <w:divBdr>
        <w:top w:val="none" w:sz="0" w:space="0" w:color="auto"/>
        <w:left w:val="none" w:sz="0" w:space="0" w:color="auto"/>
        <w:bottom w:val="none" w:sz="0" w:space="0" w:color="auto"/>
        <w:right w:val="none" w:sz="0" w:space="0" w:color="auto"/>
      </w:divBdr>
    </w:div>
    <w:div w:id="548148850">
      <w:bodyDiv w:val="1"/>
      <w:marLeft w:val="0"/>
      <w:marRight w:val="0"/>
      <w:marTop w:val="0"/>
      <w:marBottom w:val="0"/>
      <w:divBdr>
        <w:top w:val="none" w:sz="0" w:space="0" w:color="auto"/>
        <w:left w:val="none" w:sz="0" w:space="0" w:color="auto"/>
        <w:bottom w:val="none" w:sz="0" w:space="0" w:color="auto"/>
        <w:right w:val="none" w:sz="0" w:space="0" w:color="auto"/>
      </w:divBdr>
    </w:div>
    <w:div w:id="577138323">
      <w:bodyDiv w:val="1"/>
      <w:marLeft w:val="0"/>
      <w:marRight w:val="0"/>
      <w:marTop w:val="0"/>
      <w:marBottom w:val="0"/>
      <w:divBdr>
        <w:top w:val="none" w:sz="0" w:space="0" w:color="auto"/>
        <w:left w:val="none" w:sz="0" w:space="0" w:color="auto"/>
        <w:bottom w:val="none" w:sz="0" w:space="0" w:color="auto"/>
        <w:right w:val="none" w:sz="0" w:space="0" w:color="auto"/>
      </w:divBdr>
    </w:div>
    <w:div w:id="631861122">
      <w:bodyDiv w:val="1"/>
      <w:marLeft w:val="0"/>
      <w:marRight w:val="0"/>
      <w:marTop w:val="0"/>
      <w:marBottom w:val="0"/>
      <w:divBdr>
        <w:top w:val="none" w:sz="0" w:space="0" w:color="auto"/>
        <w:left w:val="none" w:sz="0" w:space="0" w:color="auto"/>
        <w:bottom w:val="none" w:sz="0" w:space="0" w:color="auto"/>
        <w:right w:val="none" w:sz="0" w:space="0" w:color="auto"/>
      </w:divBdr>
    </w:div>
    <w:div w:id="658310550">
      <w:bodyDiv w:val="1"/>
      <w:marLeft w:val="0"/>
      <w:marRight w:val="0"/>
      <w:marTop w:val="0"/>
      <w:marBottom w:val="0"/>
      <w:divBdr>
        <w:top w:val="none" w:sz="0" w:space="0" w:color="auto"/>
        <w:left w:val="none" w:sz="0" w:space="0" w:color="auto"/>
        <w:bottom w:val="none" w:sz="0" w:space="0" w:color="auto"/>
        <w:right w:val="none" w:sz="0" w:space="0" w:color="auto"/>
      </w:divBdr>
    </w:div>
    <w:div w:id="817722353">
      <w:bodyDiv w:val="1"/>
      <w:marLeft w:val="0"/>
      <w:marRight w:val="0"/>
      <w:marTop w:val="0"/>
      <w:marBottom w:val="0"/>
      <w:divBdr>
        <w:top w:val="none" w:sz="0" w:space="0" w:color="auto"/>
        <w:left w:val="none" w:sz="0" w:space="0" w:color="auto"/>
        <w:bottom w:val="none" w:sz="0" w:space="0" w:color="auto"/>
        <w:right w:val="none" w:sz="0" w:space="0" w:color="auto"/>
      </w:divBdr>
    </w:div>
    <w:div w:id="862019741">
      <w:bodyDiv w:val="1"/>
      <w:marLeft w:val="0"/>
      <w:marRight w:val="0"/>
      <w:marTop w:val="0"/>
      <w:marBottom w:val="0"/>
      <w:divBdr>
        <w:top w:val="none" w:sz="0" w:space="0" w:color="auto"/>
        <w:left w:val="none" w:sz="0" w:space="0" w:color="auto"/>
        <w:bottom w:val="none" w:sz="0" w:space="0" w:color="auto"/>
        <w:right w:val="none" w:sz="0" w:space="0" w:color="auto"/>
      </w:divBdr>
    </w:div>
    <w:div w:id="981499030">
      <w:bodyDiv w:val="1"/>
      <w:marLeft w:val="0"/>
      <w:marRight w:val="0"/>
      <w:marTop w:val="0"/>
      <w:marBottom w:val="0"/>
      <w:divBdr>
        <w:top w:val="none" w:sz="0" w:space="0" w:color="auto"/>
        <w:left w:val="none" w:sz="0" w:space="0" w:color="auto"/>
        <w:bottom w:val="none" w:sz="0" w:space="0" w:color="auto"/>
        <w:right w:val="none" w:sz="0" w:space="0" w:color="auto"/>
      </w:divBdr>
    </w:div>
    <w:div w:id="1029331503">
      <w:bodyDiv w:val="1"/>
      <w:marLeft w:val="0"/>
      <w:marRight w:val="0"/>
      <w:marTop w:val="0"/>
      <w:marBottom w:val="0"/>
      <w:divBdr>
        <w:top w:val="none" w:sz="0" w:space="0" w:color="auto"/>
        <w:left w:val="none" w:sz="0" w:space="0" w:color="auto"/>
        <w:bottom w:val="none" w:sz="0" w:space="0" w:color="auto"/>
        <w:right w:val="none" w:sz="0" w:space="0" w:color="auto"/>
      </w:divBdr>
    </w:div>
    <w:div w:id="1120342491">
      <w:bodyDiv w:val="1"/>
      <w:marLeft w:val="0"/>
      <w:marRight w:val="0"/>
      <w:marTop w:val="0"/>
      <w:marBottom w:val="0"/>
      <w:divBdr>
        <w:top w:val="none" w:sz="0" w:space="0" w:color="auto"/>
        <w:left w:val="none" w:sz="0" w:space="0" w:color="auto"/>
        <w:bottom w:val="none" w:sz="0" w:space="0" w:color="auto"/>
        <w:right w:val="none" w:sz="0" w:space="0" w:color="auto"/>
      </w:divBdr>
    </w:div>
    <w:div w:id="1142652593">
      <w:bodyDiv w:val="1"/>
      <w:marLeft w:val="0"/>
      <w:marRight w:val="0"/>
      <w:marTop w:val="0"/>
      <w:marBottom w:val="0"/>
      <w:divBdr>
        <w:top w:val="none" w:sz="0" w:space="0" w:color="auto"/>
        <w:left w:val="none" w:sz="0" w:space="0" w:color="auto"/>
        <w:bottom w:val="none" w:sz="0" w:space="0" w:color="auto"/>
        <w:right w:val="none" w:sz="0" w:space="0" w:color="auto"/>
      </w:divBdr>
    </w:div>
    <w:div w:id="1218202388">
      <w:bodyDiv w:val="1"/>
      <w:marLeft w:val="0"/>
      <w:marRight w:val="0"/>
      <w:marTop w:val="0"/>
      <w:marBottom w:val="0"/>
      <w:divBdr>
        <w:top w:val="none" w:sz="0" w:space="0" w:color="auto"/>
        <w:left w:val="none" w:sz="0" w:space="0" w:color="auto"/>
        <w:bottom w:val="none" w:sz="0" w:space="0" w:color="auto"/>
        <w:right w:val="none" w:sz="0" w:space="0" w:color="auto"/>
      </w:divBdr>
    </w:div>
    <w:div w:id="1238052284">
      <w:bodyDiv w:val="1"/>
      <w:marLeft w:val="0"/>
      <w:marRight w:val="0"/>
      <w:marTop w:val="0"/>
      <w:marBottom w:val="0"/>
      <w:divBdr>
        <w:top w:val="none" w:sz="0" w:space="0" w:color="auto"/>
        <w:left w:val="none" w:sz="0" w:space="0" w:color="auto"/>
        <w:bottom w:val="none" w:sz="0" w:space="0" w:color="auto"/>
        <w:right w:val="none" w:sz="0" w:space="0" w:color="auto"/>
      </w:divBdr>
    </w:div>
    <w:div w:id="1243836727">
      <w:bodyDiv w:val="1"/>
      <w:marLeft w:val="0"/>
      <w:marRight w:val="0"/>
      <w:marTop w:val="0"/>
      <w:marBottom w:val="0"/>
      <w:divBdr>
        <w:top w:val="none" w:sz="0" w:space="0" w:color="auto"/>
        <w:left w:val="none" w:sz="0" w:space="0" w:color="auto"/>
        <w:bottom w:val="none" w:sz="0" w:space="0" w:color="auto"/>
        <w:right w:val="none" w:sz="0" w:space="0" w:color="auto"/>
      </w:divBdr>
    </w:div>
    <w:div w:id="1348410966">
      <w:bodyDiv w:val="1"/>
      <w:marLeft w:val="0"/>
      <w:marRight w:val="0"/>
      <w:marTop w:val="0"/>
      <w:marBottom w:val="0"/>
      <w:divBdr>
        <w:top w:val="none" w:sz="0" w:space="0" w:color="auto"/>
        <w:left w:val="none" w:sz="0" w:space="0" w:color="auto"/>
        <w:bottom w:val="none" w:sz="0" w:space="0" w:color="auto"/>
        <w:right w:val="none" w:sz="0" w:space="0" w:color="auto"/>
      </w:divBdr>
    </w:div>
    <w:div w:id="1359240743">
      <w:bodyDiv w:val="1"/>
      <w:marLeft w:val="0"/>
      <w:marRight w:val="0"/>
      <w:marTop w:val="0"/>
      <w:marBottom w:val="0"/>
      <w:divBdr>
        <w:top w:val="none" w:sz="0" w:space="0" w:color="auto"/>
        <w:left w:val="none" w:sz="0" w:space="0" w:color="auto"/>
        <w:bottom w:val="none" w:sz="0" w:space="0" w:color="auto"/>
        <w:right w:val="none" w:sz="0" w:space="0" w:color="auto"/>
      </w:divBdr>
    </w:div>
    <w:div w:id="1406951726">
      <w:bodyDiv w:val="1"/>
      <w:marLeft w:val="0"/>
      <w:marRight w:val="0"/>
      <w:marTop w:val="0"/>
      <w:marBottom w:val="0"/>
      <w:divBdr>
        <w:top w:val="none" w:sz="0" w:space="0" w:color="auto"/>
        <w:left w:val="none" w:sz="0" w:space="0" w:color="auto"/>
        <w:bottom w:val="none" w:sz="0" w:space="0" w:color="auto"/>
        <w:right w:val="none" w:sz="0" w:space="0" w:color="auto"/>
      </w:divBdr>
    </w:div>
    <w:div w:id="1476289529">
      <w:bodyDiv w:val="1"/>
      <w:marLeft w:val="0"/>
      <w:marRight w:val="0"/>
      <w:marTop w:val="0"/>
      <w:marBottom w:val="0"/>
      <w:divBdr>
        <w:top w:val="none" w:sz="0" w:space="0" w:color="auto"/>
        <w:left w:val="none" w:sz="0" w:space="0" w:color="auto"/>
        <w:bottom w:val="none" w:sz="0" w:space="0" w:color="auto"/>
        <w:right w:val="none" w:sz="0" w:space="0" w:color="auto"/>
      </w:divBdr>
    </w:div>
    <w:div w:id="1690057320">
      <w:bodyDiv w:val="1"/>
      <w:marLeft w:val="0"/>
      <w:marRight w:val="0"/>
      <w:marTop w:val="0"/>
      <w:marBottom w:val="0"/>
      <w:divBdr>
        <w:top w:val="none" w:sz="0" w:space="0" w:color="auto"/>
        <w:left w:val="none" w:sz="0" w:space="0" w:color="auto"/>
        <w:bottom w:val="none" w:sz="0" w:space="0" w:color="auto"/>
        <w:right w:val="none" w:sz="0" w:space="0" w:color="auto"/>
      </w:divBdr>
    </w:div>
    <w:div w:id="1740861438">
      <w:bodyDiv w:val="1"/>
      <w:marLeft w:val="0"/>
      <w:marRight w:val="0"/>
      <w:marTop w:val="0"/>
      <w:marBottom w:val="0"/>
      <w:divBdr>
        <w:top w:val="none" w:sz="0" w:space="0" w:color="auto"/>
        <w:left w:val="none" w:sz="0" w:space="0" w:color="auto"/>
        <w:bottom w:val="none" w:sz="0" w:space="0" w:color="auto"/>
        <w:right w:val="none" w:sz="0" w:space="0" w:color="auto"/>
      </w:divBdr>
    </w:div>
    <w:div w:id="1793090045">
      <w:bodyDiv w:val="1"/>
      <w:marLeft w:val="0"/>
      <w:marRight w:val="0"/>
      <w:marTop w:val="0"/>
      <w:marBottom w:val="0"/>
      <w:divBdr>
        <w:top w:val="none" w:sz="0" w:space="0" w:color="auto"/>
        <w:left w:val="none" w:sz="0" w:space="0" w:color="auto"/>
        <w:bottom w:val="none" w:sz="0" w:space="0" w:color="auto"/>
        <w:right w:val="none" w:sz="0" w:space="0" w:color="auto"/>
      </w:divBdr>
    </w:div>
    <w:div w:id="1837962250">
      <w:bodyDiv w:val="1"/>
      <w:marLeft w:val="0"/>
      <w:marRight w:val="0"/>
      <w:marTop w:val="0"/>
      <w:marBottom w:val="0"/>
      <w:divBdr>
        <w:top w:val="none" w:sz="0" w:space="0" w:color="auto"/>
        <w:left w:val="none" w:sz="0" w:space="0" w:color="auto"/>
        <w:bottom w:val="none" w:sz="0" w:space="0" w:color="auto"/>
        <w:right w:val="none" w:sz="0" w:space="0" w:color="auto"/>
      </w:divBdr>
    </w:div>
    <w:div w:id="1938948411">
      <w:bodyDiv w:val="1"/>
      <w:marLeft w:val="0"/>
      <w:marRight w:val="0"/>
      <w:marTop w:val="0"/>
      <w:marBottom w:val="0"/>
      <w:divBdr>
        <w:top w:val="none" w:sz="0" w:space="0" w:color="auto"/>
        <w:left w:val="none" w:sz="0" w:space="0" w:color="auto"/>
        <w:bottom w:val="none" w:sz="0" w:space="0" w:color="auto"/>
        <w:right w:val="none" w:sz="0" w:space="0" w:color="auto"/>
      </w:divBdr>
      <w:divsChild>
        <w:div w:id="553780781">
          <w:marLeft w:val="0"/>
          <w:marRight w:val="0"/>
          <w:marTop w:val="0"/>
          <w:marBottom w:val="0"/>
          <w:divBdr>
            <w:top w:val="none" w:sz="0" w:space="0" w:color="auto"/>
            <w:left w:val="none" w:sz="0" w:space="0" w:color="auto"/>
            <w:bottom w:val="none" w:sz="0" w:space="0" w:color="auto"/>
            <w:right w:val="none" w:sz="0" w:space="0" w:color="auto"/>
          </w:divBdr>
        </w:div>
        <w:div w:id="1156800439">
          <w:marLeft w:val="0"/>
          <w:marRight w:val="0"/>
          <w:marTop w:val="0"/>
          <w:marBottom w:val="0"/>
          <w:divBdr>
            <w:top w:val="none" w:sz="0" w:space="0" w:color="auto"/>
            <w:left w:val="none" w:sz="0" w:space="0" w:color="auto"/>
            <w:bottom w:val="none" w:sz="0" w:space="0" w:color="auto"/>
            <w:right w:val="none" w:sz="0" w:space="0" w:color="auto"/>
          </w:divBdr>
        </w:div>
      </w:divsChild>
    </w:div>
    <w:div w:id="1996105442">
      <w:bodyDiv w:val="1"/>
      <w:marLeft w:val="0"/>
      <w:marRight w:val="0"/>
      <w:marTop w:val="0"/>
      <w:marBottom w:val="0"/>
      <w:divBdr>
        <w:top w:val="none" w:sz="0" w:space="0" w:color="auto"/>
        <w:left w:val="none" w:sz="0" w:space="0" w:color="auto"/>
        <w:bottom w:val="none" w:sz="0" w:space="0" w:color="auto"/>
        <w:right w:val="none" w:sz="0" w:space="0" w:color="auto"/>
      </w:divBdr>
    </w:div>
    <w:div w:id="2101901628">
      <w:bodyDiv w:val="1"/>
      <w:marLeft w:val="0"/>
      <w:marRight w:val="0"/>
      <w:marTop w:val="0"/>
      <w:marBottom w:val="0"/>
      <w:divBdr>
        <w:top w:val="none" w:sz="0" w:space="0" w:color="auto"/>
        <w:left w:val="none" w:sz="0" w:space="0" w:color="auto"/>
        <w:bottom w:val="none" w:sz="0" w:space="0" w:color="auto"/>
        <w:right w:val="none" w:sz="0" w:space="0" w:color="auto"/>
      </w:divBdr>
    </w:div>
    <w:div w:id="2110351065">
      <w:bodyDiv w:val="1"/>
      <w:marLeft w:val="0"/>
      <w:marRight w:val="0"/>
      <w:marTop w:val="0"/>
      <w:marBottom w:val="0"/>
      <w:divBdr>
        <w:top w:val="none" w:sz="0" w:space="0" w:color="auto"/>
        <w:left w:val="none" w:sz="0" w:space="0" w:color="auto"/>
        <w:bottom w:val="none" w:sz="0" w:space="0" w:color="auto"/>
        <w:right w:val="none" w:sz="0" w:space="0" w:color="auto"/>
      </w:divBdr>
    </w:div>
    <w:div w:id="21217546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hs.uk/Livewell/Suicide/Documents/Help%20is%20at%20Hand.pdf" TargetMode="External"/><Relationship Id="rId18" Type="http://schemas.openxmlformats.org/officeDocument/2006/relationships/hyperlink" Target="https://nhs.sharepoint.com/:b:/r/sites/NXL_FCMS_Intranet/Shared%20Documents/Policies%20%26%20Procedures/Policies/Being%20Open%20and%20Duty%20of%20Candour%20policy.pdf?csf=1&amp;web=1&amp;e=g2s3B3" TargetMode="External"/><Relationship Id="rId26" Type="http://schemas.openxmlformats.org/officeDocument/2006/relationships/hyperlink" Target="https://nhs.sharepoint.com/:w:/r/sites/NXL_ClinicalCare/OperationalProcesses/Patient%20Safety%20Group%20TOR.docx?d=wd1ace90e418744cf9b1857b6bb67ed86&amp;csf=1&amp;web=1&amp;e=ylQ4OS" TargetMode="External"/><Relationship Id="rId39" Type="http://schemas.openxmlformats.org/officeDocument/2006/relationships/hyperlink" Target="https://www.england.nhs.uk/long-read/applying-the-patient-safety-incident-response-framework-outside-of-nhs-trusts/" TargetMode="External"/><Relationship Id="rId3" Type="http://schemas.openxmlformats.org/officeDocument/2006/relationships/customXml" Target="../customXml/item3.xml"/><Relationship Id="rId21" Type="http://schemas.openxmlformats.org/officeDocument/2006/relationships/hyperlink" Target="https://nhs.sharepoint.com/:b:/r/sites/NXL_FCMS_Intranet/Shared%20Documents/Policies%20%26%20Procedures/Policies/Corporate%20Risk%20Management%20Framework.pdf?csf=1&amp;web=1&amp;e=w6ACGv" TargetMode="External"/><Relationship Id="rId34" Type="http://schemas.openxmlformats.org/officeDocument/2006/relationships/hyperlink" Target="https://www.england.nhs.uk/long-read/patient-safety-incident-response-framework/" TargetMode="External"/><Relationship Id="rId42"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england.nhs.uk/publication/learning-from-deaths-information-for-families/" TargetMode="External"/><Relationship Id="rId17" Type="http://schemas.openxmlformats.org/officeDocument/2006/relationships/hyperlink" Target="https://nhs.sharepoint.com/:b:/r/sites/NXL_FCMS_Intranet/Shared%20Documents/Policies%20%26%20Procedures/Policies/Incident%20Reporting%20and%20SUI%20Policy%20.pdf?csf=1&amp;web=1&amp;e=c1Gg8c" TargetMode="External"/><Relationship Id="rId25" Type="http://schemas.openxmlformats.org/officeDocument/2006/relationships/hyperlink" Target="https://nhs.sharepoint.com/:w:/r/sites/NXL_ClinicalCare/OperationalProcesses/PSIRF%20-%20Learning%20Response%20Method%20Decision%20Tree%20V1.docx?d=wcd552ff78d7746d084e559a21d9c6705&amp;csf=1&amp;web=1&amp;e=pe7O8I" TargetMode="External"/><Relationship Id="rId33" Type="http://schemas.openxmlformats.org/officeDocument/2006/relationships/hyperlink" Target="https://www.england.nhs.uk/wp-content/uploads/2022/08/B1465-Safety-action-development-v1.1.pdf" TargetMode="External"/><Relationship Id="rId38" Type="http://schemas.openxmlformats.org/officeDocument/2006/relationships/hyperlink" Target="https://www.england.nhs.uk/long-read/patient-safety-incident-response-standards/"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qc.org.uk/guidance-regulation/providers/regulations-service-providers-and-managers/cqc-registration-regulations" TargetMode="External"/><Relationship Id="rId20" Type="http://schemas.openxmlformats.org/officeDocument/2006/relationships/hyperlink" Target="https://nhs.sharepoint.com/:b:/r/sites/NXL_FCMS_Intranet/Shared%20Documents/Policies%20%26%20Procedures/Procedures/Complaints%20Procedure.pdf?csf=1&amp;web=1&amp;e=OS4QuE" TargetMode="External"/><Relationship Id="rId29" Type="http://schemas.openxmlformats.org/officeDocument/2006/relationships/hyperlink" Target="https://www.england.nhs.uk/patient-safety/serious-incident-framework/"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nhs.sharepoint.com/:w:/r/sites/NXL_ClinicalCare/OperationalProcesses/Patient%20Safety%20Management%20Flowchart%20V1.docx?d=w42224261063c458b87c8018adc632af3&amp;csf=1&amp;web=1&amp;e=yxUaeE" TargetMode="External"/><Relationship Id="rId32" Type="http://schemas.openxmlformats.org/officeDocument/2006/relationships/hyperlink" Target="https://www.england.nhs.uk/patient-safety/patient-safety-insight/learning-from-patient-safety-events/" TargetMode="External"/><Relationship Id="rId37" Type="http://schemas.openxmlformats.org/officeDocument/2006/relationships/hyperlink" Target="https://www.england.nhs.uk/wp-content/uploads/2022/08/B1465-4.-Oversight-roles-and-responsibilities-specification-v1-FINAL.pdf" TargetMode="External"/><Relationship Id="rId40" Type="http://schemas.openxmlformats.org/officeDocument/2006/relationships/hyperlink" Target="https://www.england.nhs.uk/publication/patient-safety-learning-response-toolkit"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qc.org.uk/guidance-regulation/providers/regulations-service-providers-and-managers/health-social-care-act/regulation-20" TargetMode="External"/><Relationship Id="rId23" Type="http://schemas.openxmlformats.org/officeDocument/2006/relationships/hyperlink" Target="https://nhs.sharepoint.com/:w:/r/sites/NXL_ClinicalCare/OperationalProcesses/Patient%20Safety%20Glossary%20V1.docx?d=we4d2d216f3c34625a99f3fd24da7918f&amp;csf=1&amp;web=1&amp;e=dqNWT7" TargetMode="External"/><Relationship Id="rId28" Type="http://schemas.openxmlformats.org/officeDocument/2006/relationships/hyperlink" Target="https://www.gov.uk/government/groups/professor-sir-norman-williams-review" TargetMode="External"/><Relationship Id="rId36" Type="http://schemas.openxmlformats.org/officeDocument/2006/relationships/hyperlink" Target="https://www.england.nhs.uk/wp-content/uploads/2022/08/b1465-3.-guide-to-responding-proportionately-to-patient-safety-incidents-v1.2.pdf" TargetMode="External"/><Relationship Id="rId10" Type="http://schemas.openxmlformats.org/officeDocument/2006/relationships/endnotes" Target="endnotes.xml"/><Relationship Id="rId19" Type="http://schemas.openxmlformats.org/officeDocument/2006/relationships/hyperlink" Target="https://nhs.sharepoint.com/:b:/r/sites/NXL_FCMS_Intranet/Shared%20Documents/Policies%20%26%20Procedures/Policies/Clinical%20Governance%20Framework.pdf?csf=1&amp;web=1&amp;e=0405Z3" TargetMode="External"/><Relationship Id="rId31" Type="http://schemas.openxmlformats.org/officeDocument/2006/relationships/hyperlink" Target="https://www.england.nhs.uk/about/equality/equality-hub/national-healthcare-inequalities-improvement-programme/core20plus5/" TargetMode="External"/><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2010/15/contents" TargetMode="External"/><Relationship Id="rId22" Type="http://schemas.openxmlformats.org/officeDocument/2006/relationships/hyperlink" Target="https://nhs.sharepoint.com/:b:/r/sites/NXL_FCMS_Intranet/Shared%20Documents/Policies%20%26%20Procedures/Policies/Health%20and%20Safety%20Policy.pdf?csf=1&amp;web=1&amp;e=vN5hFy" TargetMode="External"/><Relationship Id="rId27" Type="http://schemas.openxmlformats.org/officeDocument/2006/relationships/hyperlink" Target="https://nhs.sharepoint.com/:w:/r/sites/NXL_ClinicalCare/OperationalProcesses/Clinical%20Effectiveness%20Group%20TOR.docx?d=we68a03bcdea8414886b300470e5f1f45&amp;csf=1&amp;web=1&amp;e=l73WJF" TargetMode="External"/><Relationship Id="rId30" Type="http://schemas.openxmlformats.org/officeDocument/2006/relationships/hyperlink" Target="https://www.ombudsman.org.uk/sites/default/files/NHS_Complaints_Standard_Spring_2021_Easy_Read%20_29Mar21.pdf" TargetMode="External"/><Relationship Id="rId35" Type="http://schemas.openxmlformats.org/officeDocument/2006/relationships/hyperlink" Target="https://www.england.nhs.uk/wp-content/uploads/2022/08/B1465-2.-Engaging-and-involving...-v1-FINAL.pdf"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FBBB7CC66CDB44A5E7D343721FBD4D" ma:contentTypeVersion="13" ma:contentTypeDescription="Create a new document." ma:contentTypeScope="" ma:versionID="5b54041a2aa037bd49d3cfdb86ed7bfc">
  <xsd:schema xmlns:xsd="http://www.w3.org/2001/XMLSchema" xmlns:xs="http://www.w3.org/2001/XMLSchema" xmlns:p="http://schemas.microsoft.com/office/2006/metadata/properties" xmlns:ns1="http://schemas.microsoft.com/sharepoint/v3" xmlns:ns2="08d45bfd-b8ff-433e-af8a-9c0c7b8bc1d2" targetNamespace="http://schemas.microsoft.com/office/2006/metadata/properties" ma:root="true" ma:fieldsID="3b616530a0227f68e205cebca564135e" ns1:_="" ns2:_="">
    <xsd:import namespace="http://schemas.microsoft.com/sharepoint/v3"/>
    <xsd:import namespace="08d45bfd-b8ff-433e-af8a-9c0c7b8bc1d2"/>
    <xsd:element name="properties">
      <xsd:complexType>
        <xsd:sequence>
          <xsd:element name="documentManagement">
            <xsd:complexType>
              <xsd:all>
                <xsd:element ref="ns2:ClinicalCategory" minOccurs="0"/>
                <xsd:element ref="ns2:MeetingType" minOccurs="0"/>
                <xsd:element ref="ns2:DocumentType" minOccurs="0"/>
                <xsd:element ref="ns2:Service" minOccurs="0"/>
                <xsd:element ref="ns2:Place" minOccurs="0"/>
                <xsd:element ref="ns2:Year_x0028_Calendar_x0029_" minOccurs="0"/>
                <xsd:element ref="ns2:Month" minOccurs="0"/>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d45bfd-b8ff-433e-af8a-9c0c7b8bc1d2" elementFormDefault="qualified">
    <xsd:import namespace="http://schemas.microsoft.com/office/2006/documentManagement/types"/>
    <xsd:import namespace="http://schemas.microsoft.com/office/infopath/2007/PartnerControls"/>
    <xsd:element name="ClinicalCategory" ma:index="8" nillable="true" ma:displayName="Clinical Category" ma:format="Dropdown" ma:internalName="ClinicalCategory">
      <xsd:complexType>
        <xsd:complexContent>
          <xsd:extension base="dms:MultiChoice">
            <xsd:sequence>
              <xsd:element name="Value" maxOccurs="unbounded" minOccurs="0" nillable="true">
                <xsd:simpleType>
                  <xsd:restriction base="dms:Choice">
                    <xsd:enumeration value="Audit"/>
                    <xsd:enumeration value="Imaging Reports"/>
                    <xsd:enumeration value="Infection Prevention"/>
                    <xsd:enumeration value="Medicines Management"/>
                    <xsd:enumeration value="Missed Fractures"/>
                    <xsd:enumeration value="Patient Safety"/>
                    <xsd:enumeration value="Prescription"/>
                    <xsd:enumeration value="PSIRF"/>
                    <xsd:enumeration value="Radiation Protection"/>
                    <xsd:enumeration value="Patient Feedback"/>
                  </xsd:restriction>
                </xsd:simpleType>
              </xsd:element>
            </xsd:sequence>
          </xsd:extension>
        </xsd:complexContent>
      </xsd:complexType>
    </xsd:element>
    <xsd:element name="MeetingType" ma:index="9" nillable="true" ma:displayName="Meeting Type" ma:format="Dropdown" ma:internalName="MeetingType">
      <xsd:simpleType>
        <xsd:restriction base="dms:Choice">
          <xsd:enumeration value="Clinical Effectiveness"/>
          <xsd:enumeration value="Clinical Leadership"/>
          <xsd:enumeration value="Local Clinical Governance"/>
          <xsd:enumeration value="One to Ones"/>
          <xsd:enumeration value="Patient Safety Group"/>
          <xsd:enumeration value="Risk &amp; Incidents (weekly)"/>
          <xsd:enumeration value="Safeguarding"/>
          <xsd:enumeration value="SQR"/>
          <xsd:enumeration value="Supervision"/>
          <xsd:enumeration value="Team Meetings"/>
          <xsd:enumeration value="Weekly Governance Coordination"/>
        </xsd:restriction>
      </xsd:simpleType>
    </xsd:element>
    <xsd:element name="DocumentType" ma:index="10" nillable="true" ma:displayName="Document Type" ma:format="Dropdown" ma:internalName="DocumentType">
      <xsd:simpleType>
        <xsd:restriction base="dms:Choice">
          <xsd:enumeration value="Action Plan"/>
          <xsd:enumeration value="Agenda"/>
          <xsd:enumeration value="Alert Notices"/>
          <xsd:enumeration value="Board Papers"/>
          <xsd:enumeration value="Certificates"/>
          <xsd:enumeration value="Checklist"/>
          <xsd:enumeration value="Claim"/>
          <xsd:enumeration value="Dashboard"/>
          <xsd:enumeration value="Declarations"/>
          <xsd:enumeration value="Evaluation"/>
          <xsd:enumeration value="Expenses"/>
          <xsd:enumeration value="Expressions of Interest"/>
          <xsd:enumeration value="Forms"/>
          <xsd:enumeration value="Guides"/>
          <xsd:enumeration value="Historical"/>
          <xsd:enumeration value="ICB Papers"/>
          <xsd:enumeration value="Information"/>
          <xsd:enumeration value="Invoices"/>
          <xsd:enumeration value="Leaflet"/>
          <xsd:enumeration value="Lesson Plan"/>
          <xsd:enumeration value="Letters"/>
          <xsd:enumeration value="Licences"/>
          <xsd:enumeration value="Lists"/>
          <xsd:enumeration value="LOGS"/>
          <xsd:enumeration value="Meeting arrangements"/>
          <xsd:enumeration value="Minutes"/>
          <xsd:enumeration value="Newsletter"/>
          <xsd:enumeration value="NHS Policy"/>
          <xsd:enumeration value="Notes"/>
          <xsd:enumeration value="Org Chart"/>
          <xsd:enumeration value="Patient Feedback"/>
          <xsd:enumeration value="PID"/>
          <xsd:enumeration value="Policies"/>
          <xsd:enumeration value="Policy"/>
          <xsd:enumeration value="Poster"/>
          <xsd:enumeration value="Presentation"/>
          <xsd:enumeration value="Procedure"/>
          <xsd:enumeration value="Process Map"/>
          <xsd:enumeration value="Processes"/>
          <xsd:enumeration value="Project Doc"/>
          <xsd:enumeration value="Project Plan"/>
          <xsd:enumeration value="Queries"/>
          <xsd:enumeration value="Questionnaire"/>
          <xsd:enumeration value="Report"/>
          <xsd:enumeration value="Responses"/>
          <xsd:enumeration value="Signatures"/>
          <xsd:enumeration value="Spreadsheet"/>
          <xsd:enumeration value="Standard Operating Procedure"/>
          <xsd:enumeration value="Submission"/>
          <xsd:enumeration value="Summary"/>
          <xsd:enumeration value="Templates"/>
          <xsd:enumeration value="Timeline"/>
          <xsd:enumeration value="Tracker"/>
          <xsd:enumeration value="Training Resources"/>
          <xsd:enumeration value="Workbooks"/>
        </xsd:restriction>
      </xsd:simpleType>
    </xsd:element>
    <xsd:element name="Service" ma:index="11" nillable="true" ma:displayName="Service" ma:format="Dropdown" ma:internalName="Service">
      <xsd:simpleType>
        <xsd:restriction base="dms:Choice">
          <xsd:enumeration value="0300"/>
          <xsd:enumeration value="111"/>
          <xsd:enumeration value="111 First"/>
          <xsd:enumeration value="ARI"/>
          <xsd:enumeration value="Asylum Seekers"/>
          <xsd:enumeration value="Avian Flu"/>
          <xsd:enumeration value="Big Word"/>
          <xsd:enumeration value="BP Checks"/>
          <xsd:enumeration value="BVUTC"/>
          <xsd:enumeration value="Call handling"/>
          <xsd:enumeration value="Cardiac"/>
          <xsd:enumeration value="CAS"/>
          <xsd:enumeration value="Changing Futures"/>
          <xsd:enumeration value="Clinical Pathway"/>
          <xsd:enumeration value="CMDU"/>
          <xsd:enumeration value="Compass Medical Practice"/>
          <xsd:enumeration value="Complex"/>
          <xsd:enumeration value="Complex Lives"/>
          <xsd:enumeration value="Corporate"/>
          <xsd:enumeration value="Covid Vacines to housebound"/>
          <xsd:enumeration value="Covid-19 Swabbing Service"/>
          <xsd:enumeration value="Dental"/>
          <xsd:enumeration value="Dental Call Handling"/>
          <xsd:enumeration value="Diagnostics"/>
          <xsd:enumeration value="Doc@Home Remote Monitoring"/>
          <xsd:enumeration value="Doncaster SDHC"/>
          <xsd:enumeration value="ECG"/>
          <xsd:enumeration value="Echo"/>
          <xsd:enumeration value="ECP"/>
          <xsd:enumeration value="EDS"/>
          <xsd:enumeration value="Enhanced Access"/>
          <xsd:enumeration value="FCIUCS"/>
          <xsd:enumeration value="FCMS Board"/>
          <xsd:enumeration value="Finance"/>
          <xsd:enumeration value="Health Checks"/>
          <xsd:enumeration value="Health Outreach Nurse"/>
          <xsd:enumeration value="Home monitoring"/>
          <xsd:enumeration value="Homeless Health"/>
          <xsd:enumeration value="Homeless Link Worker"/>
          <xsd:enumeration value="Horizon"/>
          <xsd:enumeration value="HR"/>
          <xsd:enumeration value="Inclusion Health"/>
          <xsd:enumeration value="IT"/>
          <xsd:enumeration value="Lancaster &amp; District Homeless Action Service"/>
          <xsd:enumeration value="Long Term Conditions"/>
          <xsd:enumeration value="Lung Cancer Screening"/>
          <xsd:enumeration value="Meds Management"/>
          <xsd:enumeration value="Mini Health Checks"/>
          <xsd:enumeration value="Minor Injuries Unit"/>
          <xsd:enumeration value="MMR Vacinations"/>
          <xsd:enumeration value="Mobile Units - vaccinations"/>
          <xsd:enumeration value="Morecambe Bay Integrated Urgent Care"/>
          <xsd:enumeration value="NHS"/>
          <xsd:enumeration value="NOUS"/>
          <xsd:enumeration value="OOH"/>
          <xsd:enumeration value="Payroll"/>
          <xsd:enumeration value="PCN"/>
          <xsd:enumeration value="Planned Care"/>
          <xsd:enumeration value="Primary Care"/>
          <xsd:enumeration value="Q&amp;R"/>
          <xsd:enumeration value="Reception"/>
          <xsd:enumeration value="Remote Monitoring"/>
          <xsd:enumeration value="SDHC"/>
          <xsd:enumeration value="SEL 111"/>
          <xsd:enumeration value="Sheffield 111 CAS"/>
          <xsd:enumeration value="SMI"/>
          <xsd:enumeration value="Tier 2 Cardio"/>
          <xsd:enumeration value="UEC"/>
          <xsd:enumeration value="UTC"/>
          <xsd:enumeration value="UTC/SDHC"/>
          <xsd:enumeration value="Vaccinations"/>
          <xsd:enumeration value="Vaccine Hotline"/>
          <xsd:enumeration value="Virtual"/>
          <xsd:enumeration value="Virtual 111"/>
          <xsd:enumeration value="Virtual Ward"/>
          <xsd:enumeration value="Waterloo"/>
          <xsd:enumeration value="Weeton"/>
          <xsd:enumeration value="Wound Care"/>
          <xsd:enumeration value="Woundcare"/>
          <xsd:enumeration value="YAS"/>
          <xsd:enumeration value="Urgent Care"/>
        </xsd:restriction>
      </xsd:simpleType>
    </xsd:element>
    <xsd:element name="Place" ma:index="12" nillable="true" ma:displayName="Place" ma:format="Dropdown" ma:internalName="Place">
      <xsd:simpleType>
        <xsd:restriction base="dms:Choice">
          <xsd:enumeration value="Bassetlaw"/>
          <xsd:enumeration value="Blackburn With Darwen"/>
          <xsd:enumeration value="Blackpool"/>
          <xsd:enumeration value="Bolton"/>
          <xsd:enumeration value="Doncaster"/>
          <xsd:enumeration value="Fleetwood"/>
          <xsd:enumeration value="Fylde Coast"/>
          <xsd:enumeration value="Leicester"/>
          <xsd:enumeration value="Liverpool"/>
          <xsd:enumeration value="Manchester"/>
          <xsd:enumeration value="Morecambe"/>
          <xsd:enumeration value="North Lancs"/>
          <xsd:enumeration value="Rossendale"/>
        </xsd:restriction>
      </xsd:simpleType>
    </xsd:element>
    <xsd:element name="Year_x0028_Calendar_x0029_" ma:index="13" nillable="true" ma:displayName="Year (Calendar)" ma:format="Dropdown" ma:internalName="Year_x0028_Calendar_x0029_">
      <xsd:simpleType>
        <xsd:restriction base="dms:Choice">
          <xsd:enumeration value="2023"/>
          <xsd:enumeration value="2024"/>
          <xsd:enumeration value="2025"/>
          <xsd:enumeration value="2026"/>
          <xsd:enumeration value="2027"/>
          <xsd:enumeration value="2028"/>
          <xsd:enumeration value="2029"/>
          <xsd:enumeration value="2030"/>
        </xsd:restriction>
      </xsd:simpleType>
    </xsd:element>
    <xsd:element name="Month" ma:index="14" nillable="true" ma:displayName="Month" ma:format="Dropdown" ma:internalName="Month">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ClinicalCategory xmlns="08d45bfd-b8ff-433e-af8a-9c0c7b8bc1d2">
      <Value>Patient Safety</Value>
      <Value>PSIRF</Value>
    </ClinicalCategory>
    <MeetingType xmlns="08d45bfd-b8ff-433e-af8a-9c0c7b8bc1d2">Patient Safety Group</MeetingType>
    <Month xmlns="08d45bfd-b8ff-433e-af8a-9c0c7b8bc1d2">July</Month>
    <Place xmlns="08d45bfd-b8ff-433e-af8a-9c0c7b8bc1d2" xsi:nil="true"/>
    <_ip_UnifiedCompliancePolicyProperties xmlns="http://schemas.microsoft.com/sharepoint/v3" xsi:nil="true"/>
    <DocumentType xmlns="08d45bfd-b8ff-433e-af8a-9c0c7b8bc1d2">Policy</DocumentType>
    <Service xmlns="08d45bfd-b8ff-433e-af8a-9c0c7b8bc1d2" xsi:nil="true"/>
    <Year_x0028_Calendar_x0029_ xmlns="08d45bfd-b8ff-433e-af8a-9c0c7b8bc1d2">2025</Year_x0028_Calendar_x0029_>
  </documentManagement>
</p:properties>
</file>

<file path=customXml/itemProps1.xml><?xml version="1.0" encoding="utf-8"?>
<ds:datastoreItem xmlns:ds="http://schemas.openxmlformats.org/officeDocument/2006/customXml" ds:itemID="{FC907E24-91E6-42B4-BF4F-E109B806E5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45bfd-b8ff-433e-af8a-9c0c7b8bc1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33ECCC-9F90-4910-8AC8-E7A552795F33}">
  <ds:schemaRefs>
    <ds:schemaRef ds:uri="http://schemas.microsoft.com/sharepoint/v3/contenttype/forms"/>
  </ds:schemaRefs>
</ds:datastoreItem>
</file>

<file path=customXml/itemProps3.xml><?xml version="1.0" encoding="utf-8"?>
<ds:datastoreItem xmlns:ds="http://schemas.openxmlformats.org/officeDocument/2006/customXml" ds:itemID="{90BA4F14-8B12-403B-BDAD-335EE1B3DEB3}">
  <ds:schemaRefs>
    <ds:schemaRef ds:uri="http://schemas.openxmlformats.org/officeDocument/2006/bibliography"/>
  </ds:schemaRefs>
</ds:datastoreItem>
</file>

<file path=customXml/itemProps4.xml><?xml version="1.0" encoding="utf-8"?>
<ds:datastoreItem xmlns:ds="http://schemas.openxmlformats.org/officeDocument/2006/customXml" ds:itemID="{CC37483B-605E-4E68-9034-3CCA05E12A25}">
  <ds:schemaRefs>
    <ds:schemaRef ds:uri="http://schemas.microsoft.com/office/2006/metadata/properties"/>
    <ds:schemaRef ds:uri="http://schemas.microsoft.com/office/infopath/2007/PartnerControls"/>
    <ds:schemaRef ds:uri="768272ff-30e2-44e5-bc00-e42a8654cac1"/>
    <ds:schemaRef ds:uri="cccaf3ac-2de9-44d4-aa31-54302fceb5f7"/>
    <ds:schemaRef ds:uri="http://schemas.microsoft.com/sharepoint/v3"/>
    <ds:schemaRef ds:uri="08d45bfd-b8ff-433e-af8a-9c0c7b8bc1d2"/>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TotalTime>
  <Pages>19</Pages>
  <Words>7876</Words>
  <Characters>44899</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forsyth</dc:creator>
  <cp:keywords/>
  <dc:description/>
  <cp:lastModifiedBy>TAYLOR, Emily (FCMS (NW) LTD)</cp:lastModifiedBy>
  <cp:revision>3</cp:revision>
  <dcterms:created xsi:type="dcterms:W3CDTF">2025-08-01T10:44:00Z</dcterms:created>
  <dcterms:modified xsi:type="dcterms:W3CDTF">2025-08-01T10:46:00Z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0x010100E9FBBB7CC66CDB44A5E7D343721FBD4D</vt:lpwstr>
  </property>
  <property fmtid="{D5CDD505-2E9C-101B-9397-08002B2CF9AE}" pid="3" name="MediaServiceImageTags">
    <vt:lpwstr/>
  </property>
</Properties>
</file>